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F42EE6">
      <w:pPr>
        <w:tabs>
          <w:tab w:val="right" w:pos="10440"/>
          <w:tab w:val="right" w:pos="13323"/>
        </w:tabs>
        <w:spacing w:after="0"/>
        <w:rPr>
          <w:rFonts w:hint="default" w:ascii="Arial" w:hAnsi="Arial" w:eastAsia="宋体" w:cs="Arial"/>
          <w:b/>
          <w:sz w:val="24"/>
          <w:szCs w:val="24"/>
          <w:lang w:val="en-US" w:eastAsia="zh-CN"/>
        </w:rPr>
      </w:pPr>
      <w:r>
        <w:rPr>
          <w:rFonts w:ascii="Arial" w:hAnsi="Arial" w:eastAsia="MS Mincho" w:cs="Arial"/>
          <w:b/>
          <w:sz w:val="24"/>
          <w:szCs w:val="24"/>
        </w:rPr>
        <w:t>3GPP TSG-RAN WG4 Meeting #</w:t>
      </w:r>
      <w:r>
        <w:rPr>
          <w:rFonts w:hint="eastAsia" w:ascii="Arial" w:hAnsi="Arial" w:eastAsia="宋体" w:cs="Arial"/>
          <w:b/>
          <w:sz w:val="24"/>
          <w:szCs w:val="24"/>
          <w:lang w:val="en-US" w:eastAsia="zh-CN"/>
        </w:rPr>
        <w:t>114</w:t>
      </w:r>
      <w:r>
        <w:rPr>
          <w:rFonts w:ascii="Arial" w:hAnsi="Arial" w:eastAsia="MS Mincho" w:cs="Arial"/>
          <w:b/>
          <w:sz w:val="24"/>
          <w:szCs w:val="24"/>
        </w:rPr>
        <w:tab/>
      </w:r>
      <w:r>
        <w:rPr>
          <w:rFonts w:ascii="Arial" w:hAnsi="Arial" w:eastAsia="MS Mincho" w:cs="Arial"/>
          <w:b/>
          <w:sz w:val="24"/>
          <w:szCs w:val="24"/>
        </w:rPr>
        <w:t>R4-2</w:t>
      </w:r>
      <w:r>
        <w:rPr>
          <w:rFonts w:hint="eastAsia" w:ascii="Arial" w:hAnsi="Arial" w:eastAsia="宋体" w:cs="Arial"/>
          <w:b/>
          <w:sz w:val="24"/>
          <w:szCs w:val="24"/>
          <w:lang w:val="en-US" w:eastAsia="zh-CN"/>
        </w:rPr>
        <w:t>502591</w:t>
      </w:r>
    </w:p>
    <w:p w14:paraId="673CA509">
      <w:pPr>
        <w:pStyle w:val="35"/>
        <w:tabs>
          <w:tab w:val="right" w:pos="9781"/>
          <w:tab w:val="right" w:pos="13323"/>
        </w:tabs>
        <w:spacing w:before="60" w:after="60"/>
        <w:outlineLvl w:val="0"/>
        <w:rPr>
          <w:rFonts w:eastAsia="宋体" w:cs="Arial"/>
          <w:sz w:val="24"/>
          <w:szCs w:val="24"/>
          <w:highlight w:val="green"/>
          <w:lang w:eastAsia="zh-CN"/>
        </w:rPr>
      </w:pPr>
      <w:r>
        <w:rPr>
          <w:rFonts w:hint="eastAsia" w:eastAsia="宋体" w:cs="Arial"/>
          <w:sz w:val="24"/>
          <w:szCs w:val="24"/>
          <w:lang w:eastAsia="zh-CN"/>
        </w:rPr>
        <w:t>Athens, GR, Feb. 17 - Feb. 21, 2025</w:t>
      </w:r>
    </w:p>
    <w:p w14:paraId="6DE4AA74">
      <w:pPr>
        <w:tabs>
          <w:tab w:val="right" w:pos="10440"/>
          <w:tab w:val="right" w:pos="13323"/>
        </w:tabs>
        <w:spacing w:after="240" w:afterLines="100"/>
        <w:rPr>
          <w:rFonts w:ascii="Arial" w:hAnsi="Arial" w:cs="Arial"/>
          <w:b/>
          <w:sz w:val="24"/>
          <w:szCs w:val="24"/>
          <w:lang w:val="en-US" w:eastAsia="zh-CN"/>
        </w:rPr>
      </w:pPr>
    </w:p>
    <w:p w14:paraId="42DC7E18">
      <w:pPr>
        <w:tabs>
          <w:tab w:val="left" w:pos="1985"/>
        </w:tabs>
        <w:jc w:val="both"/>
        <w:rPr>
          <w:rFonts w:ascii="Arial" w:hAnsi="Arial" w:cs="Arial"/>
          <w:b/>
          <w:sz w:val="22"/>
          <w:lang w:val="en-US" w:eastAsia="zh-CN"/>
        </w:rPr>
      </w:pPr>
      <w:r>
        <w:rPr>
          <w:rFonts w:ascii="Arial" w:hAnsi="Arial" w:cs="Arial"/>
          <w:b/>
          <w:sz w:val="22"/>
        </w:rPr>
        <w:t xml:space="preserve">Title: </w:t>
      </w:r>
      <w:r>
        <w:rPr>
          <w:rFonts w:ascii="Arial" w:hAnsi="Arial" w:cs="Arial"/>
          <w:b/>
          <w:sz w:val="22"/>
        </w:rPr>
        <w:tab/>
      </w:r>
      <w:r>
        <w:rPr>
          <w:rFonts w:hint="eastAsia" w:ascii="Arial" w:hAnsi="Arial" w:cs="Arial"/>
          <w:sz w:val="22"/>
          <w:lang w:val="en-US" w:eastAsia="zh-CN"/>
        </w:rPr>
        <w:t>WF on RRM requirements for NR_ATG_enh</w:t>
      </w:r>
    </w:p>
    <w:p w14:paraId="21F6F9CE">
      <w:pPr>
        <w:tabs>
          <w:tab w:val="left" w:pos="1985"/>
        </w:tabs>
        <w:jc w:val="both"/>
        <w:rPr>
          <w:rFonts w:ascii="Arial" w:hAnsi="Arial" w:cs="Arial"/>
          <w:sz w:val="22"/>
          <w:lang w:val="en-US" w:eastAsia="zh-CN"/>
        </w:rPr>
      </w:pPr>
      <w:r>
        <w:rPr>
          <w:rFonts w:ascii="Arial" w:hAnsi="Arial" w:cs="Arial"/>
          <w:b/>
          <w:sz w:val="22"/>
        </w:rPr>
        <w:t>Agenda Item:</w:t>
      </w:r>
      <w:r>
        <w:rPr>
          <w:rFonts w:ascii="Arial" w:hAnsi="Arial" w:cs="Arial"/>
          <w:b/>
          <w:sz w:val="22"/>
        </w:rPr>
        <w:tab/>
      </w:r>
      <w:r>
        <w:rPr>
          <w:rFonts w:hint="eastAsia" w:ascii="Arial" w:hAnsi="Arial" w:cs="Arial"/>
          <w:sz w:val="22"/>
          <w:lang w:val="en-US" w:eastAsia="zh-CN"/>
        </w:rPr>
        <w:t>7.12.4</w:t>
      </w:r>
    </w:p>
    <w:p w14:paraId="625E059D">
      <w:pPr>
        <w:tabs>
          <w:tab w:val="left" w:pos="1985"/>
        </w:tabs>
        <w:jc w:val="both"/>
        <w:rPr>
          <w:rFonts w:ascii="Arial" w:hAnsi="Arial" w:eastAsia="宋体" w:cs="Arial"/>
          <w:sz w:val="22"/>
          <w:lang w:val="en-US" w:eastAsia="zh-CN"/>
        </w:rPr>
      </w:pPr>
      <w:r>
        <w:rPr>
          <w:rFonts w:ascii="Arial" w:hAnsi="Arial" w:cs="Arial"/>
          <w:b/>
          <w:sz w:val="22"/>
        </w:rPr>
        <w:t xml:space="preserve">Source: </w:t>
      </w:r>
      <w:r>
        <w:rPr>
          <w:rFonts w:ascii="Arial" w:hAnsi="Arial" w:cs="Arial"/>
          <w:b/>
          <w:sz w:val="22"/>
        </w:rPr>
        <w:tab/>
      </w:r>
      <w:r>
        <w:rPr>
          <w:rFonts w:hint="eastAsia" w:ascii="Arial" w:hAnsi="Arial" w:cs="Arial" w:eastAsiaTheme="minorEastAsia"/>
          <w:color w:val="000000"/>
          <w:sz w:val="22"/>
          <w:lang w:val="en-US" w:eastAsia="zh-CN"/>
        </w:rPr>
        <w:t>CMCC</w:t>
      </w:r>
    </w:p>
    <w:p w14:paraId="07E610BB">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14:paraId="346DD53C">
      <w:pPr>
        <w:pStyle w:val="2"/>
        <w:rPr>
          <w:rFonts w:eastAsia="宋体"/>
          <w:lang w:val="en-US" w:eastAsia="zh-CN"/>
        </w:rPr>
      </w:pPr>
      <w:r>
        <w:t xml:space="preserve">&lt;Topic </w:t>
      </w:r>
      <w:r>
        <w:rPr>
          <w:rFonts w:hint="eastAsia" w:eastAsia="宋体"/>
          <w:lang w:val="en-US" w:eastAsia="zh-CN"/>
        </w:rPr>
        <w:t>1</w:t>
      </w:r>
      <w:r>
        <w:t>&gt;</w:t>
      </w:r>
      <w:r>
        <w:rPr>
          <w:rFonts w:hint="eastAsia" w:eastAsia="宋体"/>
          <w:lang w:val="en-US" w:eastAsia="zh-CN"/>
        </w:rPr>
        <w:t xml:space="preserve"> RRM core requirement</w:t>
      </w:r>
    </w:p>
    <w:p w14:paraId="1B76E756">
      <w:pPr>
        <w:pStyle w:val="3"/>
        <w:rPr>
          <w:b/>
          <w:sz w:val="21"/>
          <w:szCs w:val="21"/>
          <w:u w:val="single"/>
          <w:lang w:val="en-US" w:eastAsia="zh-CN"/>
        </w:rPr>
      </w:pPr>
      <w:r>
        <w:t xml:space="preserve">&lt;Sub-topic </w:t>
      </w:r>
      <w:r>
        <w:rPr>
          <w:rFonts w:hint="eastAsia" w:eastAsia="宋体"/>
          <w:lang w:val="en-US" w:eastAsia="zh-CN"/>
        </w:rPr>
        <w:t>1</w:t>
      </w:r>
      <w:r>
        <w:t>-</w:t>
      </w:r>
      <w:r>
        <w:rPr>
          <w:rFonts w:hint="eastAsia" w:eastAsia="宋体"/>
          <w:lang w:val="en-US" w:eastAsia="zh-CN"/>
        </w:rPr>
        <w:t>1</w:t>
      </w:r>
      <w:r>
        <w:t>&gt;</w:t>
      </w:r>
      <w:r>
        <w:rPr>
          <w:rFonts w:hint="eastAsia" w:eastAsia="宋体"/>
          <w:lang w:val="en-US" w:eastAsia="zh-CN"/>
        </w:rPr>
        <w:t xml:space="preserve"> General</w:t>
      </w:r>
    </w:p>
    <w:p w14:paraId="7B1C45C2">
      <w:pPr>
        <w:rPr>
          <w:b/>
          <w:sz w:val="21"/>
          <w:szCs w:val="21"/>
          <w:u w:val="single"/>
          <w:lang w:val="en-US" w:eastAsia="zh-CN"/>
        </w:rPr>
      </w:pPr>
      <w:r>
        <w:rPr>
          <w:rFonts w:hint="eastAsia"/>
          <w:b/>
          <w:sz w:val="21"/>
          <w:szCs w:val="21"/>
          <w:u w:val="single"/>
          <w:lang w:val="en-US" w:eastAsia="zh-CN"/>
        </w:rPr>
        <w:t>Issue 1-1-2: UE Antenna Type signaling</w:t>
      </w:r>
    </w:p>
    <w:p w14:paraId="4DFB05F2">
      <w:pPr>
        <w:rPr>
          <w:rFonts w:hint="eastAsia"/>
          <w:b/>
          <w:bCs/>
          <w:color w:val="auto"/>
          <w:sz w:val="21"/>
          <w:szCs w:val="21"/>
          <w:highlight w:val="green"/>
          <w:u w:val="none"/>
          <w:lang w:val="en-US" w:eastAsia="zh-CN"/>
        </w:rPr>
      </w:pPr>
      <w:r>
        <w:rPr>
          <w:rFonts w:hint="eastAsia"/>
          <w:b/>
          <w:bCs/>
          <w:color w:val="auto"/>
          <w:sz w:val="21"/>
          <w:szCs w:val="21"/>
          <w:highlight w:val="green"/>
          <w:u w:val="none"/>
          <w:lang w:val="en-US" w:eastAsia="zh-CN"/>
        </w:rPr>
        <w:t>Agreement:</w:t>
      </w:r>
    </w:p>
    <w:p w14:paraId="462A2EB3">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601" w:hanging="363"/>
        <w:textAlignment w:val="baseline"/>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To differentiate Case 4 and Case 5, an additional UE capability to indicate common or separate Rx beam is needed</w:t>
      </w:r>
    </w:p>
    <w:p w14:paraId="7A6475A6">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601" w:hanging="363"/>
        <w:textAlignment w:val="baseline"/>
        <w:rPr>
          <w:rFonts w:hint="default" w:ascii="Times New Roman" w:hAnsi="Times New Roman" w:eastAsia="宋体" w:cs="Times New Roman"/>
          <w:sz w:val="21"/>
          <w:szCs w:val="21"/>
          <w:highlight w:val="yellow"/>
          <w:lang w:val="en-US" w:eastAsia="zh-CN"/>
        </w:rPr>
      </w:pPr>
      <w:r>
        <w:rPr>
          <w:rFonts w:hint="eastAsia" w:ascii="Times New Roman" w:hAnsi="Times New Roman" w:eastAsia="宋体" w:cs="Times New Roman"/>
          <w:sz w:val="21"/>
          <w:szCs w:val="21"/>
          <w:highlight w:val="yellow"/>
          <w:lang w:val="en-US" w:eastAsia="zh-CN"/>
        </w:rPr>
        <w:t>FFS for the details.</w:t>
      </w:r>
    </w:p>
    <w:p w14:paraId="40F50449">
      <w:pPr>
        <w:numPr>
          <w:ilvl w:val="-1"/>
          <w:numId w:val="0"/>
        </w:numPr>
        <w:spacing w:after="120"/>
        <w:rPr>
          <w:rFonts w:hint="default" w:eastAsia="宋体"/>
          <w:sz w:val="21"/>
          <w:szCs w:val="21"/>
          <w:lang w:val="en-US" w:eastAsia="zh-CN"/>
        </w:rPr>
      </w:pPr>
    </w:p>
    <w:p w14:paraId="4F80D3ED">
      <w:pPr>
        <w:rPr>
          <w:rFonts w:hint="eastAsia"/>
          <w:b/>
          <w:sz w:val="21"/>
          <w:szCs w:val="21"/>
          <w:u w:val="single"/>
          <w:lang w:val="en-US" w:eastAsia="zh-CN"/>
        </w:rPr>
      </w:pPr>
      <w:r>
        <w:rPr>
          <w:rFonts w:hint="eastAsia"/>
          <w:b/>
          <w:sz w:val="21"/>
          <w:szCs w:val="21"/>
          <w:u w:val="single"/>
          <w:lang w:val="en-US" w:eastAsia="zh-CN"/>
        </w:rPr>
        <w:t>CR split</w:t>
      </w:r>
    </w:p>
    <w:tbl>
      <w:tblPr>
        <w:tblStyle w:val="4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5737"/>
        <w:gridCol w:w="2090"/>
      </w:tblGrid>
      <w:tr w14:paraId="7FA30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5737"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6C09BA19">
            <w:pPr>
              <w:rPr>
                <w:rFonts w:hint="eastAsia" w:eastAsia="宋体"/>
                <w:color w:val="auto"/>
                <w:sz w:val="21"/>
                <w:szCs w:val="28"/>
                <w:highlight w:val="none"/>
                <w:lang w:val="en-US" w:eastAsia="zh-CN"/>
              </w:rPr>
            </w:pPr>
            <w:r>
              <w:rPr>
                <w:rFonts w:hint="default" w:eastAsia="宋体"/>
                <w:color w:val="auto"/>
                <w:sz w:val="21"/>
                <w:szCs w:val="28"/>
                <w:highlight w:val="none"/>
                <w:lang w:val="en-US" w:eastAsia="zh-CN"/>
              </w:rPr>
              <w:t>3.6.16 Applicability of requirements for ATG</w:t>
            </w:r>
          </w:p>
        </w:tc>
        <w:tc>
          <w:tcPr>
            <w:tcW w:w="2090" w:type="dxa"/>
            <w:tcBorders>
              <w:top w:val="single" w:color="auto" w:sz="8" w:space="0"/>
              <w:left w:val="nil"/>
              <w:bottom w:val="single" w:color="auto" w:sz="8" w:space="0"/>
              <w:right w:val="single" w:color="auto" w:sz="8" w:space="0"/>
            </w:tcBorders>
            <w:shd w:val="clear" w:color="auto" w:fill="FFFFFF"/>
            <w:tcMar>
              <w:left w:w="108" w:type="dxa"/>
              <w:right w:w="108" w:type="dxa"/>
            </w:tcMar>
            <w:vAlign w:val="top"/>
          </w:tcPr>
          <w:p w14:paraId="2EE53DEE">
            <w:pPr>
              <w:rPr>
                <w:rFonts w:hint="eastAsia" w:eastAsia="宋体"/>
                <w:color w:val="auto"/>
                <w:sz w:val="21"/>
                <w:szCs w:val="28"/>
                <w:highlight w:val="none"/>
                <w:lang w:val="en-US" w:eastAsia="zh-CN"/>
              </w:rPr>
            </w:pPr>
            <w:r>
              <w:rPr>
                <w:rFonts w:hint="eastAsia" w:eastAsia="宋体"/>
                <w:color w:val="auto"/>
                <w:sz w:val="21"/>
                <w:szCs w:val="28"/>
                <w:highlight w:val="none"/>
                <w:lang w:val="en-US" w:eastAsia="zh-CN"/>
              </w:rPr>
              <w:t>CMCC</w:t>
            </w:r>
          </w:p>
        </w:tc>
      </w:tr>
      <w:tr w14:paraId="0D8AF8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5737" w:type="dxa"/>
            <w:tcBorders>
              <w:top w:val="nil"/>
              <w:left w:val="single" w:color="auto" w:sz="8" w:space="0"/>
              <w:bottom w:val="single" w:color="auto" w:sz="8" w:space="0"/>
              <w:right w:val="single" w:color="auto" w:sz="8" w:space="0"/>
            </w:tcBorders>
            <w:shd w:val="clear" w:color="auto" w:fill="FFFFFF"/>
            <w:tcMar>
              <w:left w:w="108" w:type="dxa"/>
              <w:right w:w="108" w:type="dxa"/>
            </w:tcMar>
            <w:vAlign w:val="top"/>
          </w:tcPr>
          <w:p w14:paraId="6AA769EF">
            <w:pPr>
              <w:rPr>
                <w:rFonts w:hint="eastAsia" w:eastAsia="宋体"/>
                <w:color w:val="auto"/>
                <w:sz w:val="21"/>
                <w:szCs w:val="28"/>
                <w:highlight w:val="none"/>
                <w:lang w:val="en-US" w:eastAsia="zh-CN"/>
              </w:rPr>
            </w:pPr>
            <w:r>
              <w:rPr>
                <w:rFonts w:hint="default" w:eastAsia="宋体"/>
                <w:color w:val="auto"/>
                <w:sz w:val="21"/>
                <w:szCs w:val="28"/>
                <w:highlight w:val="none"/>
                <w:lang w:val="en-US" w:eastAsia="zh-CN"/>
              </w:rPr>
              <w:t>4.2D Cell Re-selection for ATG</w:t>
            </w:r>
          </w:p>
        </w:tc>
        <w:tc>
          <w:tcPr>
            <w:tcW w:w="2090" w:type="dxa"/>
            <w:tcBorders>
              <w:top w:val="nil"/>
              <w:left w:val="nil"/>
              <w:bottom w:val="single" w:color="auto" w:sz="8" w:space="0"/>
              <w:right w:val="single" w:color="auto" w:sz="8" w:space="0"/>
            </w:tcBorders>
            <w:shd w:val="clear" w:color="auto" w:fill="FFFFFF"/>
            <w:tcMar>
              <w:left w:w="108" w:type="dxa"/>
              <w:right w:w="108" w:type="dxa"/>
            </w:tcMar>
            <w:vAlign w:val="top"/>
          </w:tcPr>
          <w:p w14:paraId="2C0AE690">
            <w:pPr>
              <w:rPr>
                <w:rFonts w:hint="eastAsia" w:eastAsia="宋体"/>
                <w:color w:val="auto"/>
                <w:sz w:val="21"/>
                <w:szCs w:val="28"/>
                <w:highlight w:val="none"/>
                <w:lang w:val="en-US" w:eastAsia="zh-CN"/>
              </w:rPr>
            </w:pPr>
            <w:r>
              <w:rPr>
                <w:rFonts w:hint="eastAsia" w:eastAsia="宋体"/>
                <w:color w:val="auto"/>
                <w:sz w:val="21"/>
                <w:szCs w:val="28"/>
                <w:highlight w:val="none"/>
                <w:lang w:val="en-US" w:eastAsia="zh-CN"/>
              </w:rPr>
              <w:t>CMCC</w:t>
            </w:r>
          </w:p>
        </w:tc>
      </w:tr>
      <w:tr w14:paraId="7BD4F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5737" w:type="dxa"/>
            <w:tcBorders>
              <w:top w:val="nil"/>
              <w:left w:val="single" w:color="auto" w:sz="8" w:space="0"/>
              <w:bottom w:val="single" w:color="auto" w:sz="8" w:space="0"/>
              <w:right w:val="single" w:color="auto" w:sz="8" w:space="0"/>
            </w:tcBorders>
            <w:shd w:val="clear" w:color="auto" w:fill="FFFFFF"/>
            <w:tcMar>
              <w:left w:w="108" w:type="dxa"/>
              <w:right w:w="108" w:type="dxa"/>
            </w:tcMar>
            <w:vAlign w:val="top"/>
          </w:tcPr>
          <w:p w14:paraId="379AD16C">
            <w:pPr>
              <w:rPr>
                <w:rFonts w:hint="eastAsia" w:eastAsia="宋体"/>
                <w:color w:val="auto"/>
                <w:sz w:val="21"/>
                <w:szCs w:val="28"/>
                <w:highlight w:val="none"/>
                <w:lang w:val="en-US" w:eastAsia="zh-CN"/>
              </w:rPr>
            </w:pPr>
            <w:r>
              <w:rPr>
                <w:rFonts w:hint="default" w:eastAsia="宋体"/>
                <w:color w:val="auto"/>
                <w:sz w:val="21"/>
                <w:szCs w:val="28"/>
                <w:highlight w:val="none"/>
                <w:lang w:val="en-US" w:eastAsia="zh-CN"/>
              </w:rPr>
              <w:t>7.3D Timing advance for ATG</w:t>
            </w:r>
          </w:p>
        </w:tc>
        <w:tc>
          <w:tcPr>
            <w:tcW w:w="2090" w:type="dxa"/>
            <w:tcBorders>
              <w:top w:val="nil"/>
              <w:left w:val="nil"/>
              <w:bottom w:val="single" w:color="auto" w:sz="8" w:space="0"/>
              <w:right w:val="single" w:color="auto" w:sz="8" w:space="0"/>
            </w:tcBorders>
            <w:shd w:val="clear" w:color="auto" w:fill="FFFFFF"/>
            <w:tcMar>
              <w:left w:w="108" w:type="dxa"/>
              <w:right w:w="108" w:type="dxa"/>
            </w:tcMar>
            <w:vAlign w:val="top"/>
          </w:tcPr>
          <w:p w14:paraId="27CF08DE">
            <w:pPr>
              <w:rPr>
                <w:rFonts w:hint="eastAsia" w:eastAsia="宋体"/>
                <w:color w:val="auto"/>
                <w:sz w:val="21"/>
                <w:szCs w:val="28"/>
                <w:highlight w:val="none"/>
                <w:lang w:val="en-US" w:eastAsia="zh-CN"/>
              </w:rPr>
            </w:pPr>
            <w:r>
              <w:rPr>
                <w:rFonts w:hint="eastAsia" w:eastAsia="宋体"/>
                <w:color w:val="auto"/>
                <w:sz w:val="21"/>
                <w:szCs w:val="28"/>
                <w:highlight w:val="none"/>
                <w:lang w:val="en-US" w:eastAsia="zh-CN"/>
              </w:rPr>
              <w:t>Intel</w:t>
            </w:r>
          </w:p>
        </w:tc>
      </w:tr>
      <w:tr w14:paraId="497F17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5737" w:type="dxa"/>
            <w:tcBorders>
              <w:top w:val="nil"/>
              <w:left w:val="single" w:color="auto" w:sz="8" w:space="0"/>
              <w:bottom w:val="single" w:color="auto" w:sz="8" w:space="0"/>
              <w:right w:val="single" w:color="auto" w:sz="8" w:space="0"/>
            </w:tcBorders>
            <w:shd w:val="clear" w:color="auto" w:fill="FFFFFF"/>
            <w:tcMar>
              <w:left w:w="108" w:type="dxa"/>
              <w:right w:w="108" w:type="dxa"/>
            </w:tcMar>
            <w:vAlign w:val="top"/>
          </w:tcPr>
          <w:p w14:paraId="79815183">
            <w:pPr>
              <w:rPr>
                <w:rFonts w:hint="eastAsia" w:eastAsia="宋体"/>
                <w:color w:val="auto"/>
                <w:sz w:val="21"/>
                <w:szCs w:val="28"/>
                <w:highlight w:val="none"/>
                <w:lang w:val="en-US" w:eastAsia="zh-CN"/>
              </w:rPr>
            </w:pPr>
            <w:r>
              <w:rPr>
                <w:rFonts w:hint="default" w:eastAsia="宋体"/>
                <w:color w:val="auto"/>
                <w:sz w:val="21"/>
                <w:szCs w:val="28"/>
                <w:highlight w:val="none"/>
                <w:lang w:val="en-US" w:eastAsia="zh-CN"/>
              </w:rPr>
              <w:t>7.6D(new) Maximum Receive Timing Difference for ATG</w:t>
            </w:r>
          </w:p>
        </w:tc>
        <w:tc>
          <w:tcPr>
            <w:tcW w:w="2090" w:type="dxa"/>
            <w:tcBorders>
              <w:top w:val="nil"/>
              <w:left w:val="nil"/>
              <w:bottom w:val="single" w:color="auto" w:sz="8" w:space="0"/>
              <w:right w:val="single" w:color="auto" w:sz="8" w:space="0"/>
            </w:tcBorders>
            <w:shd w:val="clear" w:color="auto" w:fill="FFFFFF"/>
            <w:tcMar>
              <w:left w:w="108" w:type="dxa"/>
              <w:right w:w="108" w:type="dxa"/>
            </w:tcMar>
            <w:vAlign w:val="top"/>
          </w:tcPr>
          <w:p w14:paraId="313ADAD6">
            <w:pPr>
              <w:rPr>
                <w:rFonts w:hint="eastAsia" w:eastAsia="宋体"/>
                <w:color w:val="auto"/>
                <w:sz w:val="21"/>
                <w:szCs w:val="28"/>
                <w:highlight w:val="none"/>
                <w:lang w:val="en-US" w:eastAsia="zh-CN"/>
              </w:rPr>
            </w:pPr>
            <w:r>
              <w:rPr>
                <w:rFonts w:hint="eastAsia" w:eastAsia="宋体"/>
                <w:color w:val="auto"/>
                <w:sz w:val="21"/>
                <w:szCs w:val="28"/>
                <w:highlight w:val="none"/>
                <w:lang w:val="en-US" w:eastAsia="zh-CN"/>
              </w:rPr>
              <w:t>Intel</w:t>
            </w:r>
          </w:p>
        </w:tc>
      </w:tr>
      <w:tr w14:paraId="595CA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5737" w:type="dxa"/>
            <w:tcBorders>
              <w:top w:val="nil"/>
              <w:left w:val="single" w:color="auto" w:sz="8" w:space="0"/>
              <w:bottom w:val="single" w:color="auto" w:sz="8" w:space="0"/>
              <w:right w:val="single" w:color="auto" w:sz="8" w:space="0"/>
            </w:tcBorders>
            <w:shd w:val="clear" w:color="auto" w:fill="FFFFFF"/>
            <w:tcMar>
              <w:left w:w="108" w:type="dxa"/>
              <w:right w:w="108" w:type="dxa"/>
            </w:tcMar>
            <w:vAlign w:val="top"/>
          </w:tcPr>
          <w:p w14:paraId="4BAA29C7">
            <w:pPr>
              <w:rPr>
                <w:rFonts w:hint="eastAsia" w:eastAsia="宋体"/>
                <w:color w:val="auto"/>
                <w:sz w:val="21"/>
                <w:szCs w:val="28"/>
                <w:highlight w:val="none"/>
                <w:lang w:val="en-US" w:eastAsia="zh-CN"/>
              </w:rPr>
            </w:pPr>
            <w:r>
              <w:rPr>
                <w:rFonts w:hint="default" w:eastAsia="宋体"/>
                <w:color w:val="auto"/>
                <w:sz w:val="21"/>
                <w:szCs w:val="28"/>
                <w:highlight w:val="none"/>
                <w:lang w:val="en-US" w:eastAsia="zh-CN"/>
              </w:rPr>
              <w:t>8.1D Radio Link Monitoring for ATG</w:t>
            </w:r>
          </w:p>
        </w:tc>
        <w:tc>
          <w:tcPr>
            <w:tcW w:w="2090" w:type="dxa"/>
            <w:tcBorders>
              <w:top w:val="nil"/>
              <w:left w:val="nil"/>
              <w:bottom w:val="single" w:color="auto" w:sz="8" w:space="0"/>
              <w:right w:val="single" w:color="auto" w:sz="8" w:space="0"/>
            </w:tcBorders>
            <w:shd w:val="clear" w:color="auto" w:fill="FFFFFF"/>
            <w:tcMar>
              <w:left w:w="108" w:type="dxa"/>
              <w:right w:w="108" w:type="dxa"/>
            </w:tcMar>
            <w:vAlign w:val="top"/>
          </w:tcPr>
          <w:p w14:paraId="3C3022D1">
            <w:pPr>
              <w:rPr>
                <w:rFonts w:hint="eastAsia" w:eastAsia="宋体"/>
                <w:color w:val="auto"/>
                <w:sz w:val="21"/>
                <w:szCs w:val="28"/>
                <w:highlight w:val="none"/>
                <w:lang w:val="en-US" w:eastAsia="zh-CN"/>
              </w:rPr>
            </w:pPr>
            <w:r>
              <w:rPr>
                <w:rFonts w:hint="eastAsia" w:eastAsia="宋体"/>
                <w:color w:val="auto"/>
                <w:sz w:val="21"/>
                <w:szCs w:val="28"/>
                <w:highlight w:val="none"/>
                <w:lang w:val="en-US" w:eastAsia="zh-CN"/>
              </w:rPr>
              <w:t>HW</w:t>
            </w:r>
          </w:p>
        </w:tc>
      </w:tr>
      <w:tr w14:paraId="76089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5737" w:type="dxa"/>
            <w:tcBorders>
              <w:top w:val="nil"/>
              <w:left w:val="single" w:color="auto" w:sz="8" w:space="0"/>
              <w:bottom w:val="single" w:color="auto" w:sz="8" w:space="0"/>
              <w:right w:val="single" w:color="auto" w:sz="8" w:space="0"/>
            </w:tcBorders>
            <w:shd w:val="clear" w:color="auto" w:fill="FFFFFF"/>
            <w:tcMar>
              <w:left w:w="108" w:type="dxa"/>
              <w:right w:w="108" w:type="dxa"/>
            </w:tcMar>
            <w:vAlign w:val="top"/>
          </w:tcPr>
          <w:p w14:paraId="0B23AB90">
            <w:pPr>
              <w:rPr>
                <w:rFonts w:hint="eastAsia" w:eastAsia="宋体"/>
                <w:color w:val="auto"/>
                <w:sz w:val="21"/>
                <w:szCs w:val="28"/>
                <w:highlight w:val="none"/>
                <w:lang w:val="en-US" w:eastAsia="zh-CN"/>
              </w:rPr>
            </w:pPr>
            <w:r>
              <w:rPr>
                <w:rFonts w:hint="default" w:eastAsia="宋体"/>
                <w:color w:val="auto"/>
                <w:sz w:val="21"/>
                <w:szCs w:val="28"/>
                <w:highlight w:val="yellow"/>
                <w:lang w:val="en-US" w:eastAsia="zh-CN"/>
              </w:rPr>
              <w:t>FFS</w:t>
            </w:r>
            <w:r>
              <w:rPr>
                <w:rFonts w:hint="default" w:eastAsia="宋体"/>
                <w:color w:val="auto"/>
                <w:sz w:val="21"/>
                <w:szCs w:val="28"/>
                <w:highlight w:val="none"/>
                <w:lang w:val="en-US" w:eastAsia="zh-CN"/>
              </w:rPr>
              <w:t xml:space="preserve"> 8.2D(new) Interruption for ATG</w:t>
            </w:r>
          </w:p>
        </w:tc>
        <w:tc>
          <w:tcPr>
            <w:tcW w:w="2090" w:type="dxa"/>
            <w:tcBorders>
              <w:top w:val="nil"/>
              <w:left w:val="nil"/>
              <w:bottom w:val="single" w:color="auto" w:sz="8" w:space="0"/>
              <w:right w:val="single" w:color="auto" w:sz="8" w:space="0"/>
            </w:tcBorders>
            <w:shd w:val="clear" w:color="auto" w:fill="FFFFFF"/>
            <w:tcMar>
              <w:left w:w="108" w:type="dxa"/>
              <w:right w:w="108" w:type="dxa"/>
            </w:tcMar>
            <w:vAlign w:val="top"/>
          </w:tcPr>
          <w:p w14:paraId="1661B8CB">
            <w:pPr>
              <w:rPr>
                <w:rFonts w:hint="eastAsia" w:eastAsia="宋体"/>
                <w:color w:val="auto"/>
                <w:sz w:val="21"/>
                <w:szCs w:val="28"/>
                <w:highlight w:val="none"/>
                <w:lang w:val="en-US" w:eastAsia="zh-CN"/>
              </w:rPr>
            </w:pPr>
            <w:r>
              <w:rPr>
                <w:rFonts w:hint="eastAsia" w:eastAsia="宋体"/>
                <w:color w:val="auto"/>
                <w:sz w:val="21"/>
                <w:szCs w:val="28"/>
                <w:highlight w:val="none"/>
                <w:lang w:val="en-US" w:eastAsia="zh-CN"/>
              </w:rPr>
              <w:t>Intel</w:t>
            </w:r>
          </w:p>
        </w:tc>
      </w:tr>
      <w:tr w14:paraId="24101A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5737" w:type="dxa"/>
            <w:tcBorders>
              <w:top w:val="nil"/>
              <w:left w:val="single" w:color="auto" w:sz="8" w:space="0"/>
              <w:bottom w:val="single" w:color="auto" w:sz="8" w:space="0"/>
              <w:right w:val="single" w:color="auto" w:sz="8" w:space="0"/>
            </w:tcBorders>
            <w:shd w:val="clear" w:color="auto" w:fill="FFFFFF"/>
            <w:tcMar>
              <w:left w:w="108" w:type="dxa"/>
              <w:right w:w="108" w:type="dxa"/>
            </w:tcMar>
            <w:vAlign w:val="top"/>
          </w:tcPr>
          <w:p w14:paraId="61906ED0">
            <w:pPr>
              <w:rPr>
                <w:rFonts w:hint="eastAsia" w:eastAsia="宋体"/>
                <w:color w:val="auto"/>
                <w:sz w:val="21"/>
                <w:szCs w:val="28"/>
                <w:highlight w:val="none"/>
                <w:lang w:val="en-US" w:eastAsia="zh-CN"/>
              </w:rPr>
            </w:pPr>
            <w:r>
              <w:rPr>
                <w:rFonts w:hint="default" w:eastAsia="宋体"/>
                <w:color w:val="auto"/>
                <w:sz w:val="21"/>
                <w:szCs w:val="28"/>
                <w:highlight w:val="none"/>
                <w:lang w:val="en-US" w:eastAsia="zh-CN"/>
              </w:rPr>
              <w:t>8.3D SCell Activation and Deactivation Delay for ATG</w:t>
            </w:r>
          </w:p>
        </w:tc>
        <w:tc>
          <w:tcPr>
            <w:tcW w:w="2090" w:type="dxa"/>
            <w:tcBorders>
              <w:top w:val="nil"/>
              <w:left w:val="nil"/>
              <w:bottom w:val="single" w:color="auto" w:sz="8" w:space="0"/>
              <w:right w:val="single" w:color="auto" w:sz="8" w:space="0"/>
            </w:tcBorders>
            <w:shd w:val="clear" w:color="auto" w:fill="FFFFFF"/>
            <w:tcMar>
              <w:left w:w="108" w:type="dxa"/>
              <w:right w:w="108" w:type="dxa"/>
            </w:tcMar>
            <w:vAlign w:val="top"/>
          </w:tcPr>
          <w:p w14:paraId="3C62B63D">
            <w:pPr>
              <w:rPr>
                <w:rFonts w:hint="eastAsia" w:eastAsia="宋体"/>
                <w:color w:val="auto"/>
                <w:sz w:val="21"/>
                <w:szCs w:val="28"/>
                <w:highlight w:val="none"/>
                <w:lang w:val="en-US" w:eastAsia="zh-CN"/>
              </w:rPr>
            </w:pPr>
            <w:r>
              <w:rPr>
                <w:rFonts w:hint="eastAsia" w:eastAsia="宋体"/>
                <w:color w:val="auto"/>
                <w:sz w:val="21"/>
                <w:szCs w:val="28"/>
                <w:highlight w:val="none"/>
                <w:lang w:val="en-US" w:eastAsia="zh-CN"/>
              </w:rPr>
              <w:t>Apple</w:t>
            </w:r>
          </w:p>
        </w:tc>
      </w:tr>
      <w:tr w14:paraId="55DC1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737" w:type="dxa"/>
            <w:tcBorders>
              <w:top w:val="nil"/>
              <w:left w:val="single" w:color="auto" w:sz="8" w:space="0"/>
              <w:bottom w:val="single" w:color="auto" w:sz="8" w:space="0"/>
              <w:right w:val="single" w:color="auto" w:sz="8" w:space="0"/>
            </w:tcBorders>
            <w:shd w:val="clear" w:color="auto" w:fill="FFFFFF"/>
            <w:tcMar>
              <w:left w:w="108" w:type="dxa"/>
              <w:right w:w="108" w:type="dxa"/>
            </w:tcMar>
            <w:vAlign w:val="top"/>
          </w:tcPr>
          <w:p w14:paraId="037ED834">
            <w:pPr>
              <w:rPr>
                <w:rFonts w:hint="eastAsia" w:eastAsia="宋体"/>
                <w:color w:val="auto"/>
                <w:sz w:val="21"/>
                <w:szCs w:val="28"/>
                <w:highlight w:val="none"/>
                <w:lang w:val="en-US" w:eastAsia="zh-CN"/>
              </w:rPr>
            </w:pPr>
            <w:r>
              <w:rPr>
                <w:rFonts w:hint="default" w:eastAsia="宋体"/>
                <w:color w:val="auto"/>
                <w:sz w:val="21"/>
                <w:szCs w:val="28"/>
                <w:highlight w:val="none"/>
                <w:lang w:val="en-US" w:eastAsia="zh-CN"/>
              </w:rPr>
              <w:t>8.5D Link Recovery Procedures for ATG</w:t>
            </w:r>
          </w:p>
        </w:tc>
        <w:tc>
          <w:tcPr>
            <w:tcW w:w="2090" w:type="dxa"/>
            <w:tcBorders>
              <w:top w:val="nil"/>
              <w:left w:val="nil"/>
              <w:bottom w:val="single" w:color="auto" w:sz="8" w:space="0"/>
              <w:right w:val="single" w:color="auto" w:sz="8" w:space="0"/>
            </w:tcBorders>
            <w:shd w:val="clear" w:color="auto" w:fill="FFFFFF"/>
            <w:tcMar>
              <w:left w:w="108" w:type="dxa"/>
              <w:right w:w="108" w:type="dxa"/>
            </w:tcMar>
            <w:vAlign w:val="top"/>
          </w:tcPr>
          <w:p w14:paraId="0CC64947">
            <w:pPr>
              <w:rPr>
                <w:rFonts w:hint="eastAsia" w:eastAsia="宋体"/>
                <w:color w:val="auto"/>
                <w:sz w:val="21"/>
                <w:szCs w:val="28"/>
                <w:highlight w:val="none"/>
                <w:lang w:val="en-US" w:eastAsia="zh-CN"/>
              </w:rPr>
            </w:pPr>
            <w:r>
              <w:rPr>
                <w:rFonts w:hint="eastAsia" w:eastAsia="宋体"/>
                <w:color w:val="auto"/>
                <w:sz w:val="21"/>
                <w:szCs w:val="28"/>
                <w:highlight w:val="none"/>
                <w:lang w:val="en-US" w:eastAsia="zh-CN"/>
              </w:rPr>
              <w:t>HW</w:t>
            </w:r>
          </w:p>
        </w:tc>
      </w:tr>
      <w:tr w14:paraId="15AE1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5737" w:type="dxa"/>
            <w:tcBorders>
              <w:top w:val="nil"/>
              <w:left w:val="single" w:color="auto" w:sz="8" w:space="0"/>
              <w:bottom w:val="single" w:color="auto" w:sz="8" w:space="0"/>
              <w:right w:val="single" w:color="auto" w:sz="8" w:space="0"/>
            </w:tcBorders>
            <w:shd w:val="clear" w:color="auto" w:fill="FFFFFF"/>
            <w:tcMar>
              <w:left w:w="108" w:type="dxa"/>
              <w:right w:w="108" w:type="dxa"/>
            </w:tcMar>
            <w:vAlign w:val="top"/>
          </w:tcPr>
          <w:p w14:paraId="419CB348">
            <w:pPr>
              <w:rPr>
                <w:rFonts w:hint="eastAsia" w:eastAsia="宋体"/>
                <w:color w:val="auto"/>
                <w:sz w:val="21"/>
                <w:szCs w:val="28"/>
                <w:highlight w:val="none"/>
                <w:lang w:val="en-US" w:eastAsia="zh-CN"/>
              </w:rPr>
            </w:pPr>
            <w:r>
              <w:rPr>
                <w:rFonts w:hint="default" w:eastAsia="宋体"/>
                <w:color w:val="auto"/>
                <w:sz w:val="21"/>
                <w:szCs w:val="28"/>
                <w:highlight w:val="none"/>
                <w:lang w:val="en-US" w:eastAsia="zh-CN"/>
              </w:rPr>
              <w:t>8.6D Active BWP switch delay for ATG</w:t>
            </w:r>
          </w:p>
        </w:tc>
        <w:tc>
          <w:tcPr>
            <w:tcW w:w="2090" w:type="dxa"/>
            <w:tcBorders>
              <w:top w:val="nil"/>
              <w:left w:val="nil"/>
              <w:bottom w:val="single" w:color="auto" w:sz="8" w:space="0"/>
              <w:right w:val="single" w:color="auto" w:sz="8" w:space="0"/>
            </w:tcBorders>
            <w:shd w:val="clear" w:color="auto" w:fill="FFFFFF"/>
            <w:tcMar>
              <w:left w:w="108" w:type="dxa"/>
              <w:right w:w="108" w:type="dxa"/>
            </w:tcMar>
            <w:vAlign w:val="top"/>
          </w:tcPr>
          <w:p w14:paraId="457B91A4">
            <w:pPr>
              <w:rPr>
                <w:rFonts w:hint="eastAsia" w:eastAsia="宋体"/>
                <w:color w:val="auto"/>
                <w:sz w:val="21"/>
                <w:szCs w:val="28"/>
                <w:highlight w:val="none"/>
                <w:lang w:val="en-US" w:eastAsia="zh-CN"/>
              </w:rPr>
            </w:pPr>
            <w:r>
              <w:rPr>
                <w:rFonts w:hint="eastAsia" w:eastAsia="宋体"/>
                <w:color w:val="auto"/>
                <w:sz w:val="21"/>
                <w:szCs w:val="28"/>
                <w:highlight w:val="none"/>
                <w:lang w:val="en-US" w:eastAsia="zh-CN"/>
              </w:rPr>
              <w:t>Apple</w:t>
            </w:r>
          </w:p>
        </w:tc>
      </w:tr>
      <w:tr w14:paraId="1EAB22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5737" w:type="dxa"/>
            <w:tcBorders>
              <w:top w:val="nil"/>
              <w:left w:val="single" w:color="auto" w:sz="8" w:space="0"/>
              <w:bottom w:val="single" w:color="auto" w:sz="8" w:space="0"/>
              <w:right w:val="single" w:color="auto" w:sz="8" w:space="0"/>
            </w:tcBorders>
            <w:shd w:val="clear" w:color="auto" w:fill="FFFFFF"/>
            <w:tcMar>
              <w:left w:w="108" w:type="dxa"/>
              <w:right w:w="108" w:type="dxa"/>
            </w:tcMar>
            <w:vAlign w:val="top"/>
          </w:tcPr>
          <w:p w14:paraId="48BA506A">
            <w:pPr>
              <w:rPr>
                <w:rFonts w:hint="eastAsia" w:eastAsia="宋体"/>
                <w:color w:val="auto"/>
                <w:sz w:val="21"/>
                <w:szCs w:val="28"/>
                <w:highlight w:val="none"/>
                <w:lang w:val="en-US" w:eastAsia="zh-CN"/>
              </w:rPr>
            </w:pPr>
            <w:r>
              <w:rPr>
                <w:rFonts w:hint="default" w:eastAsia="宋体"/>
                <w:color w:val="auto"/>
                <w:sz w:val="21"/>
                <w:szCs w:val="28"/>
                <w:highlight w:val="none"/>
                <w:lang w:val="en-US" w:eastAsia="zh-CN"/>
              </w:rPr>
              <w:t>8.19D Pre-configured measurement gap activation/deactivation delay for ATG</w:t>
            </w:r>
          </w:p>
        </w:tc>
        <w:tc>
          <w:tcPr>
            <w:tcW w:w="2090" w:type="dxa"/>
            <w:tcBorders>
              <w:top w:val="nil"/>
              <w:left w:val="nil"/>
              <w:bottom w:val="single" w:color="auto" w:sz="8" w:space="0"/>
              <w:right w:val="single" w:color="auto" w:sz="8" w:space="0"/>
            </w:tcBorders>
            <w:shd w:val="clear" w:color="auto" w:fill="FFFFFF"/>
            <w:tcMar>
              <w:left w:w="108" w:type="dxa"/>
              <w:right w:w="108" w:type="dxa"/>
            </w:tcMar>
            <w:vAlign w:val="top"/>
          </w:tcPr>
          <w:p w14:paraId="5D3EA8EE">
            <w:pPr>
              <w:rPr>
                <w:rFonts w:hint="eastAsia" w:eastAsia="宋体"/>
                <w:color w:val="auto"/>
                <w:sz w:val="21"/>
                <w:szCs w:val="28"/>
                <w:highlight w:val="none"/>
                <w:lang w:val="en-US" w:eastAsia="zh-CN"/>
              </w:rPr>
            </w:pPr>
            <w:r>
              <w:rPr>
                <w:rFonts w:hint="eastAsia" w:eastAsia="宋体"/>
                <w:color w:val="auto"/>
                <w:sz w:val="21"/>
                <w:szCs w:val="28"/>
                <w:highlight w:val="none"/>
                <w:lang w:val="en-US" w:eastAsia="zh-CN"/>
              </w:rPr>
              <w:t>Ericsson</w:t>
            </w:r>
          </w:p>
        </w:tc>
      </w:tr>
      <w:tr w14:paraId="1162A7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5737" w:type="dxa"/>
            <w:tcBorders>
              <w:top w:val="nil"/>
              <w:left w:val="single" w:color="auto" w:sz="8" w:space="0"/>
              <w:bottom w:val="single" w:color="auto" w:sz="8" w:space="0"/>
              <w:right w:val="single" w:color="auto" w:sz="8" w:space="0"/>
            </w:tcBorders>
            <w:shd w:val="clear" w:color="auto" w:fill="FFFFFF"/>
            <w:tcMar>
              <w:left w:w="108" w:type="dxa"/>
              <w:right w:w="108" w:type="dxa"/>
            </w:tcMar>
            <w:vAlign w:val="top"/>
          </w:tcPr>
          <w:p w14:paraId="3BC0C6D4">
            <w:pPr>
              <w:rPr>
                <w:rFonts w:hint="eastAsia" w:eastAsia="宋体"/>
                <w:color w:val="auto"/>
                <w:sz w:val="21"/>
                <w:szCs w:val="28"/>
                <w:highlight w:val="none"/>
                <w:lang w:val="en-US" w:eastAsia="zh-CN"/>
              </w:rPr>
            </w:pPr>
            <w:r>
              <w:rPr>
                <w:rFonts w:hint="default" w:eastAsia="宋体"/>
                <w:color w:val="auto"/>
                <w:sz w:val="21"/>
                <w:szCs w:val="28"/>
                <w:highlight w:val="none"/>
                <w:lang w:val="en-US" w:eastAsia="zh-CN"/>
              </w:rPr>
              <w:t>9.1D General measurement requirement for ATG</w:t>
            </w:r>
          </w:p>
        </w:tc>
        <w:tc>
          <w:tcPr>
            <w:tcW w:w="2090" w:type="dxa"/>
            <w:tcBorders>
              <w:top w:val="nil"/>
              <w:left w:val="nil"/>
              <w:bottom w:val="single" w:color="auto" w:sz="8" w:space="0"/>
              <w:right w:val="single" w:color="auto" w:sz="8" w:space="0"/>
            </w:tcBorders>
            <w:shd w:val="clear" w:color="auto" w:fill="FFFFFF"/>
            <w:tcMar>
              <w:left w:w="108" w:type="dxa"/>
              <w:right w:w="108" w:type="dxa"/>
            </w:tcMar>
            <w:vAlign w:val="top"/>
          </w:tcPr>
          <w:p w14:paraId="66ECCBA2">
            <w:pPr>
              <w:rPr>
                <w:rFonts w:hint="eastAsia" w:eastAsia="宋体"/>
                <w:color w:val="auto"/>
                <w:sz w:val="21"/>
                <w:szCs w:val="28"/>
                <w:highlight w:val="none"/>
                <w:lang w:val="en-US" w:eastAsia="zh-CN"/>
              </w:rPr>
            </w:pPr>
            <w:r>
              <w:rPr>
                <w:rFonts w:hint="eastAsia" w:eastAsia="宋体"/>
                <w:color w:val="auto"/>
                <w:sz w:val="21"/>
                <w:szCs w:val="28"/>
                <w:highlight w:val="none"/>
                <w:lang w:val="en-US" w:eastAsia="zh-CN"/>
              </w:rPr>
              <w:t>CATT</w:t>
            </w:r>
          </w:p>
        </w:tc>
      </w:tr>
      <w:tr w14:paraId="5B53CC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737" w:type="dxa"/>
            <w:tcBorders>
              <w:top w:val="nil"/>
              <w:left w:val="single" w:color="auto" w:sz="8" w:space="0"/>
              <w:bottom w:val="single" w:color="auto" w:sz="8" w:space="0"/>
              <w:right w:val="single" w:color="auto" w:sz="8" w:space="0"/>
            </w:tcBorders>
            <w:shd w:val="clear" w:color="auto" w:fill="FFFFFF"/>
            <w:tcMar>
              <w:left w:w="108" w:type="dxa"/>
              <w:right w:w="108" w:type="dxa"/>
            </w:tcMar>
            <w:vAlign w:val="top"/>
          </w:tcPr>
          <w:p w14:paraId="2DC81E88">
            <w:pPr>
              <w:rPr>
                <w:rFonts w:hint="eastAsia" w:eastAsia="宋体"/>
                <w:color w:val="auto"/>
                <w:sz w:val="21"/>
                <w:szCs w:val="28"/>
                <w:highlight w:val="none"/>
                <w:lang w:val="en-US" w:eastAsia="zh-CN"/>
              </w:rPr>
            </w:pPr>
            <w:r>
              <w:rPr>
                <w:rFonts w:hint="default" w:eastAsia="宋体"/>
                <w:color w:val="auto"/>
                <w:sz w:val="21"/>
                <w:szCs w:val="28"/>
                <w:highlight w:val="none"/>
                <w:lang w:val="en-US" w:eastAsia="zh-CN"/>
              </w:rPr>
              <w:t>9.2D NR intra-frequency measurements for ATG</w:t>
            </w:r>
          </w:p>
        </w:tc>
        <w:tc>
          <w:tcPr>
            <w:tcW w:w="2090" w:type="dxa"/>
            <w:tcBorders>
              <w:top w:val="nil"/>
              <w:left w:val="nil"/>
              <w:bottom w:val="single" w:color="auto" w:sz="8" w:space="0"/>
              <w:right w:val="single" w:color="auto" w:sz="8" w:space="0"/>
            </w:tcBorders>
            <w:shd w:val="clear" w:color="auto" w:fill="FFFFFF"/>
            <w:tcMar>
              <w:left w:w="108" w:type="dxa"/>
              <w:right w:w="108" w:type="dxa"/>
            </w:tcMar>
            <w:vAlign w:val="top"/>
          </w:tcPr>
          <w:p w14:paraId="34FFC337">
            <w:pPr>
              <w:rPr>
                <w:rFonts w:hint="eastAsia" w:eastAsia="宋体"/>
                <w:color w:val="auto"/>
                <w:sz w:val="21"/>
                <w:szCs w:val="28"/>
                <w:highlight w:val="none"/>
                <w:lang w:val="en-US" w:eastAsia="zh-CN"/>
              </w:rPr>
            </w:pPr>
            <w:r>
              <w:rPr>
                <w:rFonts w:hint="eastAsia" w:eastAsia="宋体"/>
                <w:color w:val="auto"/>
                <w:sz w:val="21"/>
                <w:szCs w:val="28"/>
                <w:highlight w:val="none"/>
                <w:lang w:val="en-US" w:eastAsia="zh-CN"/>
              </w:rPr>
              <w:t>ZTE</w:t>
            </w:r>
          </w:p>
        </w:tc>
      </w:tr>
      <w:tr w14:paraId="1993DF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5737" w:type="dxa"/>
            <w:tcBorders>
              <w:top w:val="nil"/>
              <w:left w:val="single" w:color="auto" w:sz="8" w:space="0"/>
              <w:bottom w:val="single" w:color="auto" w:sz="8" w:space="0"/>
              <w:right w:val="single" w:color="auto" w:sz="8" w:space="0"/>
            </w:tcBorders>
            <w:shd w:val="clear" w:color="auto" w:fill="FFFFFF"/>
            <w:tcMar>
              <w:left w:w="108" w:type="dxa"/>
              <w:right w:w="108" w:type="dxa"/>
            </w:tcMar>
            <w:vAlign w:val="top"/>
          </w:tcPr>
          <w:p w14:paraId="49C83205">
            <w:pPr>
              <w:rPr>
                <w:rFonts w:hint="eastAsia" w:eastAsia="宋体"/>
                <w:color w:val="auto"/>
                <w:sz w:val="21"/>
                <w:szCs w:val="28"/>
                <w:highlight w:val="none"/>
                <w:lang w:val="en-US" w:eastAsia="zh-CN"/>
              </w:rPr>
            </w:pPr>
            <w:r>
              <w:rPr>
                <w:rFonts w:hint="default" w:eastAsia="宋体"/>
                <w:color w:val="auto"/>
                <w:sz w:val="21"/>
                <w:szCs w:val="28"/>
                <w:highlight w:val="none"/>
                <w:lang w:val="en-US" w:eastAsia="zh-CN"/>
              </w:rPr>
              <w:t>9.3D NR inter-frequency measurements for ATG</w:t>
            </w:r>
          </w:p>
        </w:tc>
        <w:tc>
          <w:tcPr>
            <w:tcW w:w="2090" w:type="dxa"/>
            <w:tcBorders>
              <w:top w:val="nil"/>
              <w:left w:val="nil"/>
              <w:bottom w:val="single" w:color="auto" w:sz="8" w:space="0"/>
              <w:right w:val="single" w:color="auto" w:sz="8" w:space="0"/>
            </w:tcBorders>
            <w:shd w:val="clear" w:color="auto" w:fill="FFFFFF"/>
            <w:tcMar>
              <w:left w:w="108" w:type="dxa"/>
              <w:right w:w="108" w:type="dxa"/>
            </w:tcMar>
            <w:vAlign w:val="top"/>
          </w:tcPr>
          <w:p w14:paraId="450ADFBB">
            <w:pPr>
              <w:rPr>
                <w:rFonts w:hint="eastAsia" w:eastAsia="宋体"/>
                <w:color w:val="auto"/>
                <w:sz w:val="21"/>
                <w:szCs w:val="28"/>
                <w:highlight w:val="none"/>
                <w:lang w:val="en-US" w:eastAsia="zh-CN"/>
              </w:rPr>
            </w:pPr>
            <w:r>
              <w:rPr>
                <w:rFonts w:hint="eastAsia" w:eastAsia="宋体"/>
                <w:color w:val="auto"/>
                <w:sz w:val="21"/>
                <w:szCs w:val="28"/>
                <w:highlight w:val="none"/>
                <w:lang w:val="en-US" w:eastAsia="zh-CN"/>
              </w:rPr>
              <w:t>ZTE</w:t>
            </w:r>
          </w:p>
        </w:tc>
      </w:tr>
      <w:tr w14:paraId="55F42A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5737" w:type="dxa"/>
            <w:tcBorders>
              <w:top w:val="nil"/>
              <w:left w:val="single" w:color="auto" w:sz="8" w:space="0"/>
              <w:bottom w:val="single" w:color="auto" w:sz="8" w:space="0"/>
              <w:right w:val="single" w:color="auto" w:sz="8" w:space="0"/>
            </w:tcBorders>
            <w:shd w:val="clear" w:color="auto" w:fill="FFFFFF"/>
            <w:tcMar>
              <w:left w:w="108" w:type="dxa"/>
              <w:right w:w="108" w:type="dxa"/>
            </w:tcMar>
            <w:vAlign w:val="top"/>
          </w:tcPr>
          <w:p w14:paraId="34C331A2">
            <w:pPr>
              <w:rPr>
                <w:rFonts w:hint="eastAsia" w:eastAsia="宋体"/>
                <w:color w:val="auto"/>
                <w:sz w:val="21"/>
                <w:szCs w:val="28"/>
                <w:highlight w:val="none"/>
                <w:lang w:val="en-US" w:eastAsia="zh-CN"/>
              </w:rPr>
            </w:pPr>
            <w:r>
              <w:rPr>
                <w:rFonts w:hint="default" w:eastAsia="宋体"/>
                <w:color w:val="auto"/>
                <w:sz w:val="21"/>
                <w:szCs w:val="28"/>
                <w:highlight w:val="none"/>
                <w:lang w:val="en-US" w:eastAsia="zh-CN"/>
              </w:rPr>
              <w:t>9.5D L1-RSRP measurements for Reporting for ATG</w:t>
            </w:r>
          </w:p>
        </w:tc>
        <w:tc>
          <w:tcPr>
            <w:tcW w:w="2090" w:type="dxa"/>
            <w:tcBorders>
              <w:top w:val="nil"/>
              <w:left w:val="nil"/>
              <w:bottom w:val="single" w:color="auto" w:sz="8" w:space="0"/>
              <w:right w:val="single" w:color="auto" w:sz="8" w:space="0"/>
            </w:tcBorders>
            <w:shd w:val="clear" w:color="auto" w:fill="FFFFFF"/>
            <w:tcMar>
              <w:left w:w="108" w:type="dxa"/>
              <w:right w:w="108" w:type="dxa"/>
            </w:tcMar>
            <w:vAlign w:val="top"/>
          </w:tcPr>
          <w:p w14:paraId="5B2E5735">
            <w:pPr>
              <w:rPr>
                <w:rFonts w:hint="eastAsia" w:eastAsia="宋体"/>
                <w:color w:val="auto"/>
                <w:sz w:val="21"/>
                <w:szCs w:val="28"/>
                <w:highlight w:val="none"/>
                <w:lang w:val="en-US" w:eastAsia="zh-CN"/>
              </w:rPr>
            </w:pPr>
            <w:r>
              <w:rPr>
                <w:rFonts w:hint="eastAsia" w:eastAsia="宋体"/>
                <w:color w:val="auto"/>
                <w:sz w:val="21"/>
                <w:szCs w:val="28"/>
                <w:highlight w:val="none"/>
                <w:lang w:val="en-US" w:eastAsia="zh-CN"/>
              </w:rPr>
              <w:t>LGE</w:t>
            </w:r>
          </w:p>
        </w:tc>
      </w:tr>
      <w:tr w14:paraId="17F7AA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5737" w:type="dxa"/>
            <w:tcBorders>
              <w:top w:val="nil"/>
              <w:left w:val="single" w:color="auto" w:sz="8" w:space="0"/>
              <w:bottom w:val="single" w:color="auto" w:sz="8" w:space="0"/>
              <w:right w:val="single" w:color="auto" w:sz="8" w:space="0"/>
            </w:tcBorders>
            <w:shd w:val="clear" w:color="auto" w:fill="FFFFFF"/>
            <w:tcMar>
              <w:left w:w="108" w:type="dxa"/>
              <w:right w:w="108" w:type="dxa"/>
            </w:tcMar>
            <w:vAlign w:val="top"/>
          </w:tcPr>
          <w:p w14:paraId="3BA80D2D">
            <w:pPr>
              <w:rPr>
                <w:rFonts w:hint="eastAsia" w:eastAsia="宋体"/>
                <w:color w:val="auto"/>
                <w:sz w:val="21"/>
                <w:szCs w:val="28"/>
                <w:highlight w:val="none"/>
                <w:lang w:val="en-US" w:eastAsia="zh-CN"/>
              </w:rPr>
            </w:pPr>
            <w:r>
              <w:rPr>
                <w:rFonts w:hint="default" w:eastAsia="宋体"/>
                <w:color w:val="auto"/>
                <w:sz w:val="21"/>
                <w:szCs w:val="28"/>
                <w:highlight w:val="none"/>
                <w:lang w:val="en-US" w:eastAsia="zh-CN"/>
              </w:rPr>
              <w:t>9.8D L1-SINR measurements for Reporting for ATG</w:t>
            </w:r>
          </w:p>
        </w:tc>
        <w:tc>
          <w:tcPr>
            <w:tcW w:w="2090" w:type="dxa"/>
            <w:tcBorders>
              <w:top w:val="nil"/>
              <w:left w:val="nil"/>
              <w:bottom w:val="single" w:color="auto" w:sz="8" w:space="0"/>
              <w:right w:val="single" w:color="auto" w:sz="8" w:space="0"/>
            </w:tcBorders>
            <w:shd w:val="clear" w:color="auto" w:fill="FFFFFF"/>
            <w:tcMar>
              <w:left w:w="108" w:type="dxa"/>
              <w:right w:w="108" w:type="dxa"/>
            </w:tcMar>
            <w:vAlign w:val="top"/>
          </w:tcPr>
          <w:p w14:paraId="6FA28B6F">
            <w:pPr>
              <w:rPr>
                <w:rFonts w:hint="eastAsia" w:eastAsia="宋体"/>
                <w:color w:val="auto"/>
                <w:sz w:val="21"/>
                <w:szCs w:val="28"/>
                <w:highlight w:val="none"/>
                <w:lang w:val="en-US" w:eastAsia="zh-CN"/>
              </w:rPr>
            </w:pPr>
            <w:r>
              <w:rPr>
                <w:rFonts w:hint="eastAsia" w:eastAsia="宋体"/>
                <w:color w:val="auto"/>
                <w:sz w:val="21"/>
                <w:szCs w:val="28"/>
                <w:highlight w:val="none"/>
                <w:lang w:val="en-US" w:eastAsia="zh-CN"/>
              </w:rPr>
              <w:t>Ericsson</w:t>
            </w:r>
          </w:p>
        </w:tc>
      </w:tr>
      <w:tr w14:paraId="3251EA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5737" w:type="dxa"/>
            <w:tcBorders>
              <w:top w:val="nil"/>
              <w:left w:val="single" w:color="auto" w:sz="8" w:space="0"/>
              <w:bottom w:val="single" w:color="auto" w:sz="8" w:space="0"/>
              <w:right w:val="single" w:color="auto" w:sz="8" w:space="0"/>
            </w:tcBorders>
            <w:shd w:val="clear" w:color="auto" w:fill="FFFFFF"/>
            <w:tcMar>
              <w:left w:w="108" w:type="dxa"/>
              <w:right w:w="108" w:type="dxa"/>
            </w:tcMar>
            <w:vAlign w:val="top"/>
          </w:tcPr>
          <w:p w14:paraId="52E22C39">
            <w:pPr>
              <w:rPr>
                <w:rFonts w:hint="eastAsia" w:eastAsia="宋体"/>
                <w:color w:val="auto"/>
                <w:sz w:val="21"/>
                <w:szCs w:val="28"/>
                <w:highlight w:val="none"/>
                <w:lang w:val="en-US" w:eastAsia="zh-CN"/>
              </w:rPr>
            </w:pPr>
            <w:r>
              <w:rPr>
                <w:rFonts w:hint="default" w:eastAsia="宋体"/>
                <w:color w:val="auto"/>
                <w:sz w:val="21"/>
                <w:szCs w:val="28"/>
                <w:highlight w:val="none"/>
                <w:lang w:val="en-US" w:eastAsia="zh-CN"/>
              </w:rPr>
              <w:t>9.10D CSI-RS based L3 measurements for ATG</w:t>
            </w:r>
          </w:p>
        </w:tc>
        <w:tc>
          <w:tcPr>
            <w:tcW w:w="2090" w:type="dxa"/>
            <w:tcBorders>
              <w:top w:val="nil"/>
              <w:left w:val="nil"/>
              <w:bottom w:val="single" w:color="auto" w:sz="8" w:space="0"/>
              <w:right w:val="single" w:color="auto" w:sz="8" w:space="0"/>
            </w:tcBorders>
            <w:shd w:val="clear" w:color="auto" w:fill="FFFFFF"/>
            <w:tcMar>
              <w:left w:w="108" w:type="dxa"/>
              <w:right w:w="108" w:type="dxa"/>
            </w:tcMar>
            <w:vAlign w:val="top"/>
          </w:tcPr>
          <w:p w14:paraId="3B05EA28">
            <w:pPr>
              <w:rPr>
                <w:rFonts w:hint="eastAsia" w:eastAsia="宋体"/>
                <w:color w:val="auto"/>
                <w:sz w:val="21"/>
                <w:szCs w:val="28"/>
                <w:highlight w:val="none"/>
                <w:lang w:val="en-US" w:eastAsia="zh-CN"/>
              </w:rPr>
            </w:pPr>
            <w:r>
              <w:rPr>
                <w:rFonts w:hint="eastAsia" w:eastAsia="宋体"/>
                <w:color w:val="auto"/>
                <w:sz w:val="21"/>
                <w:szCs w:val="28"/>
                <w:highlight w:val="none"/>
                <w:lang w:val="en-US" w:eastAsia="zh-CN"/>
              </w:rPr>
              <w:t>CATT</w:t>
            </w:r>
          </w:p>
        </w:tc>
      </w:tr>
    </w:tbl>
    <w:p w14:paraId="5FFF240A">
      <w:pPr>
        <w:rPr>
          <w:rFonts w:hint="eastAsia"/>
          <w:b/>
          <w:sz w:val="21"/>
          <w:szCs w:val="21"/>
          <w:u w:val="single"/>
          <w:lang w:val="en-US" w:eastAsia="zh-CN"/>
        </w:rPr>
      </w:pPr>
    </w:p>
    <w:p w14:paraId="3D4C8680">
      <w:pPr>
        <w:numPr>
          <w:ilvl w:val="-1"/>
          <w:numId w:val="0"/>
        </w:numPr>
        <w:spacing w:after="120"/>
        <w:rPr>
          <w:rFonts w:hint="default" w:eastAsia="宋体"/>
          <w:sz w:val="21"/>
          <w:szCs w:val="21"/>
          <w:lang w:val="en-US" w:eastAsia="zh-CN"/>
        </w:rPr>
      </w:pPr>
    </w:p>
    <w:p w14:paraId="5F196961">
      <w:pPr>
        <w:pStyle w:val="3"/>
        <w:rPr>
          <w:rFonts w:eastAsia="宋体"/>
          <w:lang w:val="en-US" w:eastAsia="zh-CN"/>
        </w:rPr>
      </w:pPr>
      <w:r>
        <w:t xml:space="preserve">&lt;Sub-topic </w:t>
      </w:r>
      <w:r>
        <w:rPr>
          <w:rFonts w:hint="eastAsia" w:eastAsia="宋体"/>
          <w:lang w:val="en-US" w:eastAsia="zh-CN"/>
        </w:rPr>
        <w:t>1</w:t>
      </w:r>
      <w:r>
        <w:t>-</w:t>
      </w:r>
      <w:r>
        <w:rPr>
          <w:rFonts w:hint="eastAsia" w:eastAsia="宋体"/>
          <w:lang w:val="en-US" w:eastAsia="zh-CN"/>
        </w:rPr>
        <w:t>2</w:t>
      </w:r>
      <w:r>
        <w:t>&gt;</w:t>
      </w:r>
      <w:r>
        <w:rPr>
          <w:rFonts w:hint="eastAsia" w:eastAsia="宋体"/>
          <w:lang w:val="en-US" w:eastAsia="zh-CN"/>
        </w:rPr>
        <w:t xml:space="preserve"> Timing</w:t>
      </w:r>
    </w:p>
    <w:p w14:paraId="7CA7D9BF">
      <w:pPr>
        <w:rPr>
          <w:b/>
          <w:sz w:val="21"/>
          <w:szCs w:val="21"/>
          <w:u w:val="single"/>
          <w:lang w:val="en-US" w:eastAsia="zh-CN"/>
        </w:rPr>
      </w:pPr>
      <w:r>
        <w:rPr>
          <w:rFonts w:hint="eastAsia"/>
          <w:b/>
          <w:sz w:val="21"/>
          <w:szCs w:val="21"/>
          <w:u w:val="single"/>
          <w:lang w:eastAsia="ko-KR"/>
        </w:rPr>
        <w:t>Issue 1-</w:t>
      </w:r>
      <w:r>
        <w:rPr>
          <w:rFonts w:hint="eastAsia"/>
          <w:b/>
          <w:sz w:val="21"/>
          <w:szCs w:val="21"/>
          <w:u w:val="single"/>
          <w:lang w:val="en-US" w:eastAsia="zh-CN"/>
        </w:rPr>
        <w:t>2-1</w:t>
      </w:r>
      <w:r>
        <w:rPr>
          <w:rFonts w:hint="eastAsia"/>
          <w:b/>
          <w:sz w:val="21"/>
          <w:szCs w:val="21"/>
          <w:u w:val="single"/>
          <w:lang w:eastAsia="ko-KR"/>
        </w:rPr>
        <w:t xml:space="preserve">: </w:t>
      </w:r>
      <w:r>
        <w:rPr>
          <w:rFonts w:hint="eastAsia"/>
          <w:b/>
          <w:sz w:val="21"/>
          <w:szCs w:val="21"/>
          <w:u w:val="single"/>
          <w:lang w:val="en-US" w:eastAsia="zh-CN"/>
        </w:rPr>
        <w:t>MRTD</w:t>
      </w:r>
      <w:r>
        <w:rPr>
          <w:b/>
          <w:sz w:val="21"/>
          <w:szCs w:val="21"/>
          <w:u w:val="single"/>
          <w:lang w:val="en-US" w:eastAsia="zh-CN"/>
        </w:rPr>
        <w:t xml:space="preserve"> for ATG inter-band CA</w:t>
      </w:r>
    </w:p>
    <w:p w14:paraId="2AC339CE">
      <w:pPr>
        <w:rPr>
          <w:rFonts w:hint="eastAsia"/>
          <w:b/>
          <w:bCs/>
          <w:color w:val="auto"/>
          <w:sz w:val="21"/>
          <w:szCs w:val="21"/>
          <w:highlight w:val="green"/>
          <w:u w:val="none"/>
          <w:lang w:val="en-US" w:eastAsia="zh-CN"/>
        </w:rPr>
      </w:pPr>
      <w:r>
        <w:rPr>
          <w:rFonts w:hint="eastAsia"/>
          <w:b/>
          <w:bCs/>
          <w:color w:val="auto"/>
          <w:sz w:val="21"/>
          <w:szCs w:val="21"/>
          <w:highlight w:val="green"/>
          <w:u w:val="none"/>
          <w:lang w:val="en-US" w:eastAsia="zh-CN"/>
        </w:rPr>
        <w:t xml:space="preserve">Agreement: </w:t>
      </w:r>
    </w:p>
    <w:p w14:paraId="1ED261D2">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601" w:hanging="363"/>
        <w:textAlignment w:val="baseline"/>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33µs for the MRTD of ATG</w:t>
      </w:r>
    </w:p>
    <w:p w14:paraId="539F90CC">
      <w:pPr>
        <w:snapToGrid w:val="0"/>
        <w:spacing w:after="120"/>
        <w:rPr>
          <w:rFonts w:eastAsia="等线"/>
          <w:sz w:val="21"/>
          <w:szCs w:val="21"/>
          <w:highlight w:val="yellow"/>
          <w:lang w:val="en-US" w:eastAsia="zh-CN"/>
        </w:rPr>
      </w:pPr>
    </w:p>
    <w:p w14:paraId="6AF786D4">
      <w:pPr>
        <w:pStyle w:val="3"/>
        <w:rPr>
          <w:rFonts w:eastAsia="宋体"/>
          <w:lang w:val="en-US" w:eastAsia="zh-CN"/>
        </w:rPr>
      </w:pPr>
      <w:r>
        <w:t xml:space="preserve">&lt;Sub-topic </w:t>
      </w:r>
      <w:r>
        <w:rPr>
          <w:rFonts w:hint="eastAsia" w:eastAsia="宋体"/>
          <w:lang w:val="en-US" w:eastAsia="zh-CN"/>
        </w:rPr>
        <w:t>1</w:t>
      </w:r>
      <w:r>
        <w:t>-</w:t>
      </w:r>
      <w:r>
        <w:rPr>
          <w:rFonts w:hint="eastAsia" w:eastAsia="宋体"/>
          <w:lang w:val="en-US" w:eastAsia="zh-CN"/>
        </w:rPr>
        <w:t>3</w:t>
      </w:r>
      <w:r>
        <w:t>&gt;</w:t>
      </w:r>
      <w:r>
        <w:rPr>
          <w:rFonts w:hint="eastAsia" w:eastAsia="宋体"/>
          <w:lang w:val="en-US" w:eastAsia="zh-CN"/>
        </w:rPr>
        <w:t xml:space="preserve"> Signalling characteristics</w:t>
      </w:r>
    </w:p>
    <w:p w14:paraId="37D8C2A1">
      <w:pPr>
        <w:rPr>
          <w:b/>
          <w:sz w:val="21"/>
          <w:szCs w:val="21"/>
          <w:u w:val="single"/>
          <w:lang w:eastAsia="ko-KR"/>
        </w:rPr>
      </w:pPr>
      <w:r>
        <w:rPr>
          <w:rFonts w:hint="eastAsia"/>
          <w:b/>
          <w:sz w:val="21"/>
          <w:szCs w:val="21"/>
          <w:u w:val="single"/>
          <w:lang w:eastAsia="ko-KR"/>
        </w:rPr>
        <w:t>Issue 1-3-1: Interruption requirements</w:t>
      </w:r>
    </w:p>
    <w:p w14:paraId="4AD80ACD">
      <w:pPr>
        <w:snapToGrid w:val="0"/>
        <w:spacing w:after="120"/>
        <w:rPr>
          <w:b/>
          <w:iCs/>
          <w:sz w:val="21"/>
          <w:szCs w:val="21"/>
          <w:u w:val="single"/>
        </w:rPr>
      </w:pPr>
      <w:r>
        <w:rPr>
          <w:b/>
          <w:iCs/>
          <w:sz w:val="21"/>
          <w:szCs w:val="21"/>
          <w:u w:val="single"/>
        </w:rPr>
        <w:t>Issue 1-3-1-1 Whether Interruptions at NR SRS antenna port switching requirements need to be introduced</w:t>
      </w:r>
    </w:p>
    <w:p w14:paraId="785F75F8">
      <w:pPr>
        <w:snapToGrid w:val="0"/>
        <w:rPr>
          <w:b/>
          <w:bCs w:val="0"/>
          <w:sz w:val="21"/>
          <w:szCs w:val="21"/>
          <w:highlight w:val="green"/>
        </w:rPr>
      </w:pPr>
      <w:r>
        <w:rPr>
          <w:rFonts w:hint="eastAsia"/>
          <w:b/>
          <w:bCs w:val="0"/>
          <w:sz w:val="21"/>
          <w:szCs w:val="21"/>
          <w:highlight w:val="green"/>
        </w:rPr>
        <w:t>A</w:t>
      </w:r>
      <w:r>
        <w:rPr>
          <w:b/>
          <w:bCs w:val="0"/>
          <w:sz w:val="21"/>
          <w:szCs w:val="21"/>
          <w:highlight w:val="green"/>
        </w:rPr>
        <w:t>greement:</w:t>
      </w:r>
    </w:p>
    <w:p w14:paraId="6A13016C">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601" w:hanging="363"/>
        <w:textAlignment w:val="baseline"/>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Introduce interruption requirement at SRS antenna port switching, and legacy requirements can be reused</w:t>
      </w:r>
    </w:p>
    <w:p w14:paraId="6E70CD06">
      <w:pPr>
        <w:numPr>
          <w:ilvl w:val="1"/>
          <w:numId w:val="1"/>
        </w:numPr>
        <w:spacing w:after="120"/>
        <w:ind w:left="1020" w:leftChars="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Only DL interruption is considered based on legacy interruption requirement.</w:t>
      </w:r>
    </w:p>
    <w:p w14:paraId="0272B7A7">
      <w:pPr>
        <w:snapToGrid w:val="0"/>
        <w:spacing w:after="120"/>
        <w:rPr>
          <w:b/>
          <w:sz w:val="21"/>
          <w:szCs w:val="21"/>
          <w:u w:val="single"/>
        </w:rPr>
      </w:pPr>
      <w:r>
        <w:rPr>
          <w:b/>
          <w:sz w:val="21"/>
          <w:szCs w:val="21"/>
          <w:u w:val="single"/>
        </w:rPr>
        <w:t>Issue 1-3-1-2: Whether Interruptions at NR SRS carrier based switching requirements need to be introduced</w:t>
      </w:r>
    </w:p>
    <w:p w14:paraId="2BA7D03A">
      <w:pPr>
        <w:numPr>
          <w:numId w:val="0"/>
        </w:numPr>
        <w:snapToGrid w:val="0"/>
        <w:spacing w:after="120"/>
        <w:rPr>
          <w:rFonts w:hint="default" w:eastAsia="宋体"/>
          <w:b/>
          <w:bCs/>
          <w:sz w:val="21"/>
          <w:szCs w:val="21"/>
          <w:highlight w:val="yellow"/>
          <w:lang w:val="en-US" w:eastAsia="zh-CN"/>
        </w:rPr>
      </w:pPr>
      <w:r>
        <w:rPr>
          <w:rFonts w:hint="eastAsia" w:eastAsia="宋体"/>
          <w:b/>
          <w:bCs/>
          <w:sz w:val="21"/>
          <w:szCs w:val="21"/>
          <w:highlight w:val="yellow"/>
          <w:lang w:val="en-US" w:eastAsia="zh-CN"/>
        </w:rPr>
        <w:t>FFS</w:t>
      </w:r>
    </w:p>
    <w:p w14:paraId="744B21EE">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601" w:hanging="363"/>
        <w:textAlignment w:val="baseline"/>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Proposal 1: The NR SRS carrier based switching interruption requirement can be introduced. (HW)</w:t>
      </w:r>
    </w:p>
    <w:p w14:paraId="5D9A668A">
      <w:pPr>
        <w:rPr>
          <w:rFonts w:hint="eastAsia"/>
          <w:b/>
          <w:sz w:val="21"/>
          <w:szCs w:val="21"/>
          <w:u w:val="single"/>
          <w:lang w:eastAsia="ko-KR"/>
        </w:rPr>
      </w:pPr>
      <w:r>
        <w:rPr>
          <w:rFonts w:hint="eastAsia"/>
          <w:b/>
          <w:sz w:val="21"/>
          <w:szCs w:val="21"/>
          <w:u w:val="single"/>
          <w:lang w:eastAsia="ko-KR"/>
        </w:rPr>
        <w:t>Issue 1-3-1-3: Is there any impact from UE antenna types for interruption requirements</w:t>
      </w:r>
    </w:p>
    <w:p w14:paraId="579ED703">
      <w:pPr>
        <w:snapToGrid w:val="0"/>
        <w:rPr>
          <w:rFonts w:hint="eastAsia" w:ascii="Times New Roman" w:hAnsi="Times New Roman" w:eastAsia="Times New Roman" w:cs="Times New Roman"/>
          <w:b/>
          <w:bCs w:val="0"/>
          <w:sz w:val="21"/>
          <w:szCs w:val="21"/>
          <w:highlight w:val="green"/>
          <w:lang w:val="en-US" w:eastAsia="zh-CN"/>
        </w:rPr>
      </w:pPr>
      <w:r>
        <w:rPr>
          <w:rFonts w:hint="eastAsia" w:ascii="Times New Roman" w:hAnsi="Times New Roman" w:eastAsia="Times New Roman" w:cs="Times New Roman"/>
          <w:b/>
          <w:bCs w:val="0"/>
          <w:sz w:val="21"/>
          <w:szCs w:val="21"/>
          <w:highlight w:val="green"/>
          <w:lang w:val="en-US" w:eastAsia="zh-CN"/>
        </w:rPr>
        <w:t>Agreement:</w:t>
      </w:r>
    </w:p>
    <w:p w14:paraId="21A4210E">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601" w:hanging="363"/>
        <w:textAlignment w:val="baseline"/>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Reuse the current interruption requirements, no impact from UE antenna types.</w:t>
      </w:r>
    </w:p>
    <w:p w14:paraId="23E60C38">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601" w:hanging="363"/>
        <w:textAlignment w:val="baseline"/>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If any technical issues identified, can be further discussed.</w:t>
      </w:r>
    </w:p>
    <w:p w14:paraId="419D789F">
      <w:pPr>
        <w:rPr>
          <w:rFonts w:hint="eastAsia"/>
          <w:b/>
          <w:sz w:val="21"/>
          <w:szCs w:val="21"/>
          <w:u w:val="single"/>
          <w:lang w:eastAsia="ko-KR"/>
        </w:rPr>
      </w:pPr>
    </w:p>
    <w:p w14:paraId="18A1560E">
      <w:pPr>
        <w:rPr>
          <w:rFonts w:hint="eastAsia"/>
          <w:b/>
          <w:sz w:val="21"/>
          <w:szCs w:val="21"/>
          <w:u w:val="single"/>
          <w:lang w:eastAsia="ko-KR"/>
        </w:rPr>
      </w:pPr>
    </w:p>
    <w:p w14:paraId="1D6B9354">
      <w:pPr>
        <w:rPr>
          <w:b/>
          <w:sz w:val="21"/>
          <w:szCs w:val="21"/>
          <w:u w:val="single"/>
          <w:lang w:val="en-US" w:eastAsia="zh-CN"/>
        </w:rPr>
      </w:pPr>
      <w:r>
        <w:rPr>
          <w:rFonts w:hint="eastAsia"/>
          <w:b/>
          <w:sz w:val="21"/>
          <w:szCs w:val="21"/>
          <w:u w:val="single"/>
          <w:lang w:val="en-US" w:eastAsia="zh-CN"/>
        </w:rPr>
        <w:t>Issue 1-3-2: SCell Activation and Deactivation Delay</w:t>
      </w:r>
    </w:p>
    <w:p w14:paraId="6345A799">
      <w:pPr>
        <w:snapToGrid w:val="0"/>
        <w:rPr>
          <w:rFonts w:hint="eastAsia" w:ascii="Times New Roman" w:hAnsi="Times New Roman" w:eastAsia="Times New Roman" w:cs="Times New Roman"/>
          <w:b/>
          <w:bCs w:val="0"/>
          <w:sz w:val="21"/>
          <w:szCs w:val="21"/>
          <w:highlight w:val="green"/>
          <w:lang w:val="en-US" w:eastAsia="zh-CN"/>
        </w:rPr>
      </w:pPr>
      <w:r>
        <w:rPr>
          <w:rFonts w:hint="eastAsia" w:ascii="Times New Roman" w:hAnsi="Times New Roman" w:eastAsia="Times New Roman" w:cs="Times New Roman"/>
          <w:b/>
          <w:bCs w:val="0"/>
          <w:sz w:val="21"/>
          <w:szCs w:val="21"/>
          <w:highlight w:val="green"/>
          <w:lang w:val="en-US" w:eastAsia="zh-CN"/>
        </w:rPr>
        <w:t>Agreement:</w:t>
      </w:r>
    </w:p>
    <w:p w14:paraId="5FE884E2">
      <w:pPr>
        <w:keepNext w:val="0"/>
        <w:keepLines w:val="0"/>
        <w:pageBreakBefore w:val="0"/>
        <w:widowControl/>
        <w:numPr>
          <w:ilvl w:val="0"/>
          <w:numId w:val="1"/>
        </w:numPr>
        <w:tabs>
          <w:tab w:val="left" w:pos="420"/>
          <w:tab w:val="left" w:pos="1260"/>
          <w:tab w:val="clear" w:pos="-420"/>
        </w:tabs>
        <w:kinsoku/>
        <w:wordWrap/>
        <w:overflowPunct w:val="0"/>
        <w:topLinePunct w:val="0"/>
        <w:autoSpaceDE w:val="0"/>
        <w:autoSpaceDN w:val="0"/>
        <w:bidi w:val="0"/>
        <w:adjustRightInd w:val="0"/>
        <w:snapToGrid/>
        <w:spacing w:after="120"/>
        <w:ind w:left="601" w:hanging="363"/>
        <w:textAlignment w:val="baseline"/>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In SCell activation delay requirement, the definition of measurement related component (e.g, TL1-RSRP, measure) should refer to the ATG Clause.</w:t>
      </w:r>
    </w:p>
    <w:p w14:paraId="70361C31">
      <w:pPr>
        <w:keepNext w:val="0"/>
        <w:keepLines w:val="0"/>
        <w:pageBreakBefore w:val="0"/>
        <w:widowControl/>
        <w:numPr>
          <w:ilvl w:val="0"/>
          <w:numId w:val="1"/>
        </w:numPr>
        <w:tabs>
          <w:tab w:val="left" w:pos="420"/>
        </w:tabs>
        <w:kinsoku/>
        <w:wordWrap/>
        <w:overflowPunct w:val="0"/>
        <w:topLinePunct w:val="0"/>
        <w:autoSpaceDE w:val="0"/>
        <w:autoSpaceDN w:val="0"/>
        <w:bidi w:val="0"/>
        <w:adjustRightInd w:val="0"/>
        <w:snapToGrid/>
        <w:spacing w:after="120"/>
        <w:ind w:left="601" w:hanging="363"/>
        <w:textAlignment w:val="baseline"/>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Inter-band SSB-less SCell activation requirements can be applied to Rel-19 ATG.</w:t>
      </w:r>
    </w:p>
    <w:p w14:paraId="17EEFBA8">
      <w:pPr>
        <w:rPr>
          <w:rFonts w:eastAsia="等线"/>
          <w:sz w:val="21"/>
          <w:szCs w:val="21"/>
          <w:highlight w:val="yellow"/>
          <w:lang w:val="en-US" w:eastAsia="zh-CN"/>
        </w:rPr>
      </w:pPr>
    </w:p>
    <w:p w14:paraId="018849D4">
      <w:pPr>
        <w:rPr>
          <w:b/>
          <w:sz w:val="21"/>
          <w:szCs w:val="21"/>
          <w:u w:val="single"/>
          <w:lang w:val="en-US" w:eastAsia="zh-CN"/>
        </w:rPr>
      </w:pPr>
      <w:r>
        <w:rPr>
          <w:rFonts w:hint="eastAsia"/>
          <w:b/>
          <w:sz w:val="21"/>
          <w:szCs w:val="21"/>
          <w:u w:val="single"/>
          <w:lang w:val="en-US" w:eastAsia="zh-CN"/>
        </w:rPr>
        <w:t>Issue 1-3-3: SCell Addition/Activation mechanism</w:t>
      </w:r>
    </w:p>
    <w:p w14:paraId="36C88D06">
      <w:pPr>
        <w:rPr>
          <w:rFonts w:eastAsia="等线"/>
          <w:b/>
          <w:bCs/>
          <w:sz w:val="21"/>
          <w:szCs w:val="21"/>
          <w:highlight w:val="yellow"/>
          <w:lang w:val="en-US" w:eastAsia="zh-CN"/>
        </w:rPr>
      </w:pPr>
      <w:r>
        <w:rPr>
          <w:rFonts w:hint="eastAsia" w:eastAsia="等线"/>
          <w:b/>
          <w:bCs/>
          <w:sz w:val="21"/>
          <w:szCs w:val="21"/>
          <w:highlight w:val="yellow"/>
          <w:lang w:val="en-US" w:eastAsia="zh-CN"/>
        </w:rPr>
        <w:t>FFS</w:t>
      </w:r>
    </w:p>
    <w:p w14:paraId="111AD406">
      <w:pPr>
        <w:numPr>
          <w:ilvl w:val="0"/>
          <w:numId w:val="1"/>
        </w:numPr>
        <w:spacing w:after="120"/>
        <w:ind w:left="60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Proposal 1: Consider distance triggered SCell addition (CMCC, HW)</w:t>
      </w:r>
    </w:p>
    <w:p w14:paraId="1DF82922">
      <w:pPr>
        <w:numPr>
          <w:ilvl w:val="1"/>
          <w:numId w:val="1"/>
        </w:numPr>
        <w:spacing w:after="120"/>
        <w:ind w:left="1020" w:leftChars="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Proposal 1-1: To save power and avoid throughput loss caused by measurement for SCell addition and/or activation, introduce distance triggered SCell addition and/or activation, which can be achieved through network configuration of SCell addition and/or activation condition. After the condition is fulfilled at UE side, UE can add and/or active the SCell automatically, and then sent the SCell addition/activation confirmation message to network.(CMCC)</w:t>
      </w:r>
    </w:p>
    <w:p w14:paraId="6D944B13">
      <w:pPr>
        <w:numPr>
          <w:ilvl w:val="1"/>
          <w:numId w:val="1"/>
        </w:numPr>
        <w:spacing w:after="120"/>
        <w:ind w:left="1020" w:leftChars="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Proposal 1-2: The distance triggered SCell addition and/or activation needs to be discussed with the UE antenna type. (HW)</w:t>
      </w:r>
    </w:p>
    <w:p w14:paraId="12823091">
      <w:pPr>
        <w:numPr>
          <w:ilvl w:val="0"/>
          <w:numId w:val="1"/>
        </w:numPr>
        <w:spacing w:after="120"/>
        <w:ind w:left="60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Proposal 2: RAN4 should wait for the decision of RF session on case 4 before proceed with the Scell addition/activation mechanism discussion. (Ericsson)</w:t>
      </w:r>
    </w:p>
    <w:p w14:paraId="718CC57C">
      <w:pPr>
        <w:numPr>
          <w:ilvl w:val="0"/>
          <w:numId w:val="1"/>
        </w:numPr>
        <w:spacing w:after="120"/>
        <w:ind w:left="60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Proposal 3: further optimization methods for SCell addition and activation can be considered (CATT)</w:t>
      </w:r>
    </w:p>
    <w:p w14:paraId="754648B3">
      <w:pPr>
        <w:numPr>
          <w:ilvl w:val="1"/>
          <w:numId w:val="1"/>
        </w:numPr>
        <w:spacing w:after="120"/>
        <w:ind w:left="1020" w:leftChars="0"/>
        <w:rPr>
          <w:rFonts w:eastAsia="宋体"/>
          <w:sz w:val="21"/>
          <w:szCs w:val="21"/>
          <w:lang w:val="en-US" w:eastAsia="zh-CN"/>
        </w:rPr>
      </w:pPr>
      <w:r>
        <w:rPr>
          <w:rFonts w:hint="eastAsia" w:ascii="Times New Roman" w:hAnsi="Times New Roman" w:eastAsia="宋体" w:cs="Times New Roman"/>
          <w:sz w:val="21"/>
          <w:szCs w:val="21"/>
          <w:lang w:val="en-US" w:eastAsia="zh-CN"/>
        </w:rPr>
        <w:t>Define the corresponding enhanced requirements with some conditions, where the measurements of SCell addition and scheduling restrictions on neighbor cell measurements on candidate SCC can be omitted, and it depends on UE to apply these requirements.</w:t>
      </w:r>
    </w:p>
    <w:p w14:paraId="0B7F2F1F">
      <w:pPr>
        <w:rPr>
          <w:lang w:val="en-US" w:eastAsia="zh-CN"/>
        </w:rPr>
      </w:pPr>
    </w:p>
    <w:p w14:paraId="652CC083">
      <w:pPr>
        <w:pStyle w:val="3"/>
        <w:rPr>
          <w:rFonts w:eastAsia="宋体"/>
          <w:sz w:val="21"/>
          <w:szCs w:val="21"/>
          <w:lang w:val="en-US" w:eastAsia="zh-CN"/>
        </w:rPr>
      </w:pPr>
      <w:r>
        <w:t xml:space="preserve">&lt;Sub-topic </w:t>
      </w:r>
      <w:r>
        <w:rPr>
          <w:rFonts w:hint="eastAsia" w:eastAsia="宋体"/>
          <w:lang w:val="en-US" w:eastAsia="zh-CN"/>
        </w:rPr>
        <w:t>1</w:t>
      </w:r>
      <w:r>
        <w:t>-</w:t>
      </w:r>
      <w:r>
        <w:rPr>
          <w:rFonts w:hint="eastAsia" w:eastAsia="宋体"/>
          <w:lang w:val="en-US" w:eastAsia="zh-CN"/>
        </w:rPr>
        <w:t>4</w:t>
      </w:r>
      <w:r>
        <w:t>&gt;</w:t>
      </w:r>
      <w:r>
        <w:rPr>
          <w:rFonts w:hint="eastAsia" w:eastAsia="宋体"/>
          <w:lang w:val="en-US" w:eastAsia="zh-CN"/>
        </w:rPr>
        <w:t xml:space="preserve"> Measurement procedure</w:t>
      </w:r>
    </w:p>
    <w:p w14:paraId="27E4F5BC">
      <w:pPr>
        <w:rPr>
          <w:b/>
          <w:sz w:val="21"/>
          <w:szCs w:val="21"/>
          <w:u w:val="single"/>
          <w:lang w:val="en-US" w:eastAsia="zh-CN"/>
        </w:rPr>
      </w:pPr>
      <w:r>
        <w:rPr>
          <w:rFonts w:hint="eastAsia"/>
          <w:b/>
          <w:sz w:val="21"/>
          <w:szCs w:val="21"/>
          <w:u w:val="single"/>
          <w:lang w:val="en-US" w:eastAsia="zh-CN"/>
        </w:rPr>
        <w:t>Issue 1-4-4: Deactivated SCell measurement</w:t>
      </w:r>
    </w:p>
    <w:p w14:paraId="007E9B09">
      <w:pPr>
        <w:snapToGrid w:val="0"/>
        <w:rPr>
          <w:b/>
          <w:bCs/>
          <w:sz w:val="21"/>
          <w:szCs w:val="21"/>
          <w:highlight w:val="green"/>
          <w:lang w:eastAsia="zh-CN"/>
        </w:rPr>
      </w:pPr>
      <w:r>
        <w:rPr>
          <w:b/>
          <w:bCs/>
          <w:sz w:val="21"/>
          <w:szCs w:val="21"/>
          <w:highlight w:val="green"/>
          <w:lang w:eastAsia="zh-CN"/>
        </w:rPr>
        <w:t>Agreement:</w:t>
      </w:r>
    </w:p>
    <w:p w14:paraId="28650B4A">
      <w:pPr>
        <w:numPr>
          <w:ilvl w:val="0"/>
          <w:numId w:val="1"/>
        </w:numPr>
        <w:spacing w:after="120"/>
        <w:ind w:left="60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For ATG UE antenna types except Case 4, L1/L3 measurement sharing factor is not needed</w:t>
      </w:r>
    </w:p>
    <w:p w14:paraId="4D33A880">
      <w:pPr>
        <w:numPr>
          <w:ilvl w:val="0"/>
          <w:numId w:val="1"/>
        </w:numPr>
        <w:spacing w:after="120"/>
        <w:ind w:left="60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highlight w:val="yellow"/>
          <w:lang w:val="en-US" w:eastAsia="zh-CN"/>
        </w:rPr>
        <w:t>FFS:</w:t>
      </w:r>
      <w:r>
        <w:rPr>
          <w:rFonts w:hint="eastAsia" w:ascii="Times New Roman" w:hAnsi="Times New Roman" w:eastAsia="宋体" w:cs="Times New Roman"/>
          <w:sz w:val="21"/>
          <w:szCs w:val="21"/>
          <w:lang w:val="en-US" w:eastAsia="zh-CN"/>
        </w:rPr>
        <w:t xml:space="preserve"> For ATG UE antenna type Case 4, L1/L3 measurement sharing factor is needed</w:t>
      </w:r>
    </w:p>
    <w:p w14:paraId="2241C47B">
      <w:pPr>
        <w:rPr>
          <w:b/>
          <w:sz w:val="21"/>
          <w:szCs w:val="21"/>
          <w:u w:val="single"/>
          <w:lang w:eastAsia="zh-CN"/>
        </w:rPr>
      </w:pPr>
    </w:p>
    <w:p w14:paraId="4F29E79D">
      <w:pPr>
        <w:rPr>
          <w:b/>
          <w:sz w:val="21"/>
          <w:szCs w:val="21"/>
          <w:u w:val="single"/>
          <w:lang w:val="en-US" w:eastAsia="zh-CN"/>
        </w:rPr>
      </w:pPr>
      <w:r>
        <w:rPr>
          <w:rFonts w:hint="eastAsia"/>
          <w:b/>
          <w:sz w:val="21"/>
          <w:szCs w:val="21"/>
          <w:u w:val="single"/>
          <w:lang w:val="en-US" w:eastAsia="ko-KR"/>
        </w:rPr>
        <w:t>Issue 1-</w:t>
      </w:r>
      <w:r>
        <w:rPr>
          <w:rFonts w:hint="eastAsia"/>
          <w:b/>
          <w:sz w:val="21"/>
          <w:szCs w:val="21"/>
          <w:u w:val="single"/>
          <w:lang w:val="en-US" w:eastAsia="zh-CN"/>
        </w:rPr>
        <w:t>4-6</w:t>
      </w:r>
      <w:r>
        <w:rPr>
          <w:rFonts w:hint="eastAsia"/>
          <w:b/>
          <w:sz w:val="21"/>
          <w:szCs w:val="21"/>
          <w:u w:val="single"/>
          <w:lang w:val="en-US" w:eastAsia="ko-KR"/>
        </w:rPr>
        <w:t xml:space="preserve">: </w:t>
      </w:r>
      <w:r>
        <w:rPr>
          <w:rFonts w:hint="eastAsia"/>
          <w:b/>
          <w:sz w:val="21"/>
          <w:szCs w:val="21"/>
          <w:u w:val="single"/>
          <w:lang w:val="en-US" w:eastAsia="zh-CN"/>
        </w:rPr>
        <w:t>Scheduling Availability/Restrictions of ATG UE with the antenna array performing measurements on FR1</w:t>
      </w:r>
    </w:p>
    <w:p w14:paraId="30B7347F">
      <w:pPr>
        <w:snapToGrid w:val="0"/>
        <w:rPr>
          <w:rFonts w:hint="eastAsia" w:ascii="Times New Roman" w:hAnsi="Times New Roman" w:eastAsia="Times New Roman" w:cs="Times New Roman"/>
          <w:b/>
          <w:bCs/>
          <w:sz w:val="21"/>
          <w:szCs w:val="21"/>
          <w:highlight w:val="green"/>
          <w:lang w:val="en-US" w:eastAsia="zh-CN"/>
        </w:rPr>
      </w:pPr>
      <w:r>
        <w:rPr>
          <w:rFonts w:hint="eastAsia" w:ascii="Times New Roman" w:hAnsi="Times New Roman" w:eastAsia="Times New Roman" w:cs="Times New Roman"/>
          <w:b/>
          <w:bCs/>
          <w:sz w:val="21"/>
          <w:szCs w:val="21"/>
          <w:highlight w:val="green"/>
          <w:lang w:val="en-US" w:eastAsia="zh-CN"/>
        </w:rPr>
        <w:t>Agreement:</w:t>
      </w:r>
    </w:p>
    <w:p w14:paraId="61172F21">
      <w:pPr>
        <w:numPr>
          <w:ilvl w:val="0"/>
          <w:numId w:val="1"/>
        </w:numPr>
        <w:spacing w:after="120"/>
        <w:ind w:left="60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Principle of Proposal 1 can be agreed, the specific wording can be refined in CR</w:t>
      </w:r>
    </w:p>
    <w:p w14:paraId="1108875E">
      <w:pPr>
        <w:numPr>
          <w:ilvl w:val="1"/>
          <w:numId w:val="1"/>
        </w:numPr>
        <w:spacing w:after="120"/>
        <w:ind w:left="1020" w:leftChars="0"/>
        <w:rPr>
          <w:rFonts w:eastAsia="宋体"/>
          <w:color w:val="auto"/>
          <w:sz w:val="21"/>
          <w:szCs w:val="28"/>
          <w:lang w:val="en-US" w:eastAsia="zh-CN"/>
        </w:rPr>
      </w:pPr>
      <w:r>
        <w:rPr>
          <w:rFonts w:hint="eastAsia" w:eastAsia="宋体"/>
          <w:color w:val="auto"/>
          <w:sz w:val="21"/>
          <w:szCs w:val="28"/>
          <w:lang w:val="en-US" w:eastAsia="zh-CN"/>
        </w:rPr>
        <w:t>Proposal 1: For scheduling availability of UE with the antenna array performing measurements on FR1 for intra/inter-frequency measurement without MG and CSI-RS based intra-frequency measurements: (CMCC, ZTE, CATT)</w:t>
      </w:r>
    </w:p>
    <w:p w14:paraId="78BEB1DE">
      <w:pPr>
        <w:numPr>
          <w:ilvl w:val="2"/>
          <w:numId w:val="1"/>
        </w:numPr>
        <w:spacing w:after="120"/>
        <w:ind w:left="1440" w:leftChars="0"/>
        <w:rPr>
          <w:rFonts w:eastAsia="宋体"/>
          <w:color w:val="auto"/>
          <w:sz w:val="21"/>
          <w:szCs w:val="28"/>
          <w:lang w:val="en-US" w:eastAsia="zh-CN"/>
        </w:rPr>
      </w:pPr>
      <w:r>
        <w:rPr>
          <w:rFonts w:hint="eastAsia" w:eastAsia="宋体"/>
          <w:color w:val="auto"/>
          <w:sz w:val="21"/>
          <w:szCs w:val="28"/>
          <w:lang w:val="en-US" w:eastAsia="zh-CN"/>
        </w:rPr>
        <w:t>When intra-band carrier aggregation in FR1 is configured, the scheduling restrictions due to a given serving cell also apply to all other serving cells in the same band on the symbols that fully or partially overlap with aforementioned restricted symbols.</w:t>
      </w:r>
    </w:p>
    <w:p w14:paraId="2457B471">
      <w:pPr>
        <w:numPr>
          <w:ilvl w:val="2"/>
          <w:numId w:val="1"/>
        </w:numPr>
        <w:spacing w:after="120"/>
        <w:ind w:left="1440" w:leftChars="0"/>
        <w:rPr>
          <w:rFonts w:eastAsia="宋体"/>
          <w:color w:val="auto"/>
          <w:sz w:val="21"/>
          <w:szCs w:val="28"/>
          <w:lang w:val="en-US" w:eastAsia="zh-CN"/>
        </w:rPr>
      </w:pPr>
      <w:r>
        <w:rPr>
          <w:rFonts w:hint="eastAsia" w:eastAsia="宋体"/>
          <w:color w:val="auto"/>
          <w:sz w:val="21"/>
          <w:szCs w:val="28"/>
          <w:lang w:val="en-US" w:eastAsia="zh-CN"/>
        </w:rPr>
        <w:t>When inter-band carrier aggregation is performed:</w:t>
      </w:r>
    </w:p>
    <w:p w14:paraId="2481F1AA">
      <w:pPr>
        <w:numPr>
          <w:ilvl w:val="3"/>
          <w:numId w:val="1"/>
        </w:numPr>
        <w:spacing w:after="120"/>
        <w:ind w:left="1860" w:leftChars="0"/>
        <w:rPr>
          <w:rFonts w:eastAsia="宋体"/>
          <w:color w:val="auto"/>
          <w:sz w:val="21"/>
          <w:szCs w:val="28"/>
          <w:lang w:val="en-US" w:eastAsia="zh-CN"/>
        </w:rPr>
      </w:pPr>
      <w:r>
        <w:rPr>
          <w:rFonts w:hint="eastAsia" w:eastAsia="宋体"/>
          <w:color w:val="auto"/>
          <w:sz w:val="21"/>
          <w:szCs w:val="28"/>
          <w:lang w:val="en-US" w:eastAsia="zh-CN"/>
        </w:rPr>
        <w:t>For ATG UE capable of [antenna array capability] on either PCC or SCC, and support [new UE capability of Case 4], the scheduling restrictions due to a given serving cell should also apply to another serving cell in a different band on the symbols that fully or partially overlap with the aforementioned restricted symbols.</w:t>
      </w:r>
    </w:p>
    <w:p w14:paraId="54DD9D9C">
      <w:pPr>
        <w:numPr>
          <w:ilvl w:val="3"/>
          <w:numId w:val="1"/>
        </w:numPr>
        <w:spacing w:after="120"/>
        <w:ind w:left="1860" w:leftChars="0"/>
        <w:rPr>
          <w:rFonts w:eastAsia="宋体"/>
          <w:color w:val="auto"/>
          <w:sz w:val="21"/>
          <w:szCs w:val="28"/>
          <w:lang w:val="en-US" w:eastAsia="zh-CN"/>
        </w:rPr>
      </w:pPr>
      <w:r>
        <w:rPr>
          <w:rFonts w:hint="eastAsia" w:eastAsia="宋体"/>
          <w:color w:val="auto"/>
          <w:sz w:val="21"/>
          <w:szCs w:val="28"/>
          <w:lang w:val="en-US" w:eastAsia="zh-CN"/>
        </w:rPr>
        <w:t>For ATG UE capable of [antenna array capability] on either PCC or SCC, [but don</w:t>
      </w:r>
      <w:r>
        <w:rPr>
          <w:rFonts w:hint="default" w:eastAsia="宋体"/>
          <w:color w:val="auto"/>
          <w:sz w:val="21"/>
          <w:szCs w:val="28"/>
          <w:lang w:val="en-US" w:eastAsia="zh-CN"/>
        </w:rPr>
        <w:t>’</w:t>
      </w:r>
      <w:r>
        <w:rPr>
          <w:rFonts w:hint="eastAsia" w:eastAsia="宋体"/>
          <w:color w:val="auto"/>
          <w:sz w:val="21"/>
          <w:szCs w:val="28"/>
          <w:lang w:val="en-US" w:eastAsia="zh-CN"/>
        </w:rPr>
        <w:t>t support [new UE capability of Case 4]], the scheduling restrictions due to PCell will not apply to another serving cell in a different band.</w:t>
      </w:r>
    </w:p>
    <w:p w14:paraId="26385272">
      <w:pPr>
        <w:rPr>
          <w:b/>
          <w:sz w:val="21"/>
          <w:szCs w:val="21"/>
          <w:u w:val="single"/>
          <w:lang w:val="en-US" w:eastAsia="zh-CN"/>
        </w:rPr>
      </w:pPr>
    </w:p>
    <w:p w14:paraId="35DCD7A4">
      <w:pPr>
        <w:rPr>
          <w:b/>
          <w:sz w:val="21"/>
          <w:szCs w:val="21"/>
          <w:u w:val="single"/>
          <w:lang w:val="en-US" w:eastAsia="zh-CN"/>
        </w:rPr>
      </w:pPr>
      <w:r>
        <w:rPr>
          <w:rFonts w:hint="eastAsia"/>
          <w:b/>
          <w:sz w:val="21"/>
          <w:szCs w:val="21"/>
          <w:u w:val="single"/>
          <w:lang w:val="en-US" w:eastAsia="ko-KR"/>
        </w:rPr>
        <w:t>Issue 1-</w:t>
      </w:r>
      <w:r>
        <w:rPr>
          <w:rFonts w:hint="eastAsia"/>
          <w:b/>
          <w:sz w:val="21"/>
          <w:szCs w:val="21"/>
          <w:u w:val="single"/>
          <w:lang w:val="en-US" w:eastAsia="zh-CN"/>
        </w:rPr>
        <w:t>4-7</w:t>
      </w:r>
      <w:r>
        <w:rPr>
          <w:rFonts w:hint="eastAsia"/>
          <w:b/>
          <w:sz w:val="21"/>
          <w:szCs w:val="21"/>
          <w:u w:val="single"/>
          <w:lang w:val="en-US" w:eastAsia="ko-KR"/>
        </w:rPr>
        <w:t xml:space="preserve">: </w:t>
      </w:r>
      <w:r>
        <w:rPr>
          <w:rFonts w:hint="eastAsia"/>
          <w:b/>
          <w:sz w:val="21"/>
          <w:szCs w:val="21"/>
          <w:u w:val="single"/>
          <w:lang w:val="en-US" w:eastAsia="zh-CN"/>
        </w:rPr>
        <w:t>Scheduling Availability/Restrictions of ATG UE performing measurement with a different subcarrier spacing than PDSCH/PDCCH on FR1</w:t>
      </w:r>
    </w:p>
    <w:p w14:paraId="32061CE5">
      <w:pPr>
        <w:snapToGrid w:val="0"/>
        <w:rPr>
          <w:rFonts w:hint="eastAsia" w:ascii="Times New Roman" w:hAnsi="Times New Roman" w:eastAsia="Times New Roman" w:cs="Times New Roman"/>
          <w:b/>
          <w:bCs/>
          <w:sz w:val="21"/>
          <w:szCs w:val="21"/>
          <w:highlight w:val="green"/>
          <w:lang w:val="en-US" w:eastAsia="zh-CN"/>
        </w:rPr>
      </w:pPr>
      <w:r>
        <w:rPr>
          <w:rFonts w:hint="eastAsia" w:ascii="Times New Roman" w:hAnsi="Times New Roman" w:eastAsia="Times New Roman" w:cs="Times New Roman"/>
          <w:b/>
          <w:bCs/>
          <w:sz w:val="21"/>
          <w:szCs w:val="21"/>
          <w:highlight w:val="green"/>
          <w:lang w:val="en-US" w:eastAsia="zh-CN"/>
        </w:rPr>
        <w:t>Agreement:</w:t>
      </w:r>
    </w:p>
    <w:p w14:paraId="01FB7849">
      <w:pPr>
        <w:numPr>
          <w:ilvl w:val="0"/>
          <w:numId w:val="1"/>
        </w:numPr>
        <w:spacing w:after="120"/>
        <w:ind w:left="60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For ATG UE antenna types except Case 4</w:t>
      </w:r>
    </w:p>
    <w:p w14:paraId="10CAB477">
      <w:pPr>
        <w:numPr>
          <w:ilvl w:val="1"/>
          <w:numId w:val="1"/>
        </w:numPr>
        <w:spacing w:after="120"/>
        <w:ind w:left="1020" w:leftChars="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For scheduling availability of UE performing measurement with a different subcarrier spacing than PDSCH/PDCCH for RLM, BFD, CBD, intra/inter-frequency measurement without MG, L1-RSRP measurement, and L1-SINR measurement</w:t>
      </w:r>
    </w:p>
    <w:p w14:paraId="485E390D">
      <w:pPr>
        <w:numPr>
          <w:ilvl w:val="2"/>
          <w:numId w:val="1"/>
        </w:numPr>
        <w:spacing w:after="120"/>
        <w:ind w:left="1440" w:leftChars="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 xml:space="preserve">When intra-band carrier aggregation in FR1 is configured, the scheduling restrictions on FR1 serving PCell should apply to all serving cells in the same band on the symbols that fully or partially overlap with restricted symbols. </w:t>
      </w:r>
    </w:p>
    <w:p w14:paraId="40CFA4ED">
      <w:pPr>
        <w:numPr>
          <w:ilvl w:val="2"/>
          <w:numId w:val="1"/>
        </w:numPr>
        <w:spacing w:after="120"/>
        <w:ind w:left="1440" w:leftChars="0"/>
        <w:rPr>
          <w:rFonts w:hint="eastAsia" w:ascii="Times New Roman" w:hAnsi="Times New Roman" w:eastAsia="宋体" w:cs="Times New Roman"/>
          <w:sz w:val="21"/>
          <w:szCs w:val="21"/>
          <w:lang w:val="en-US" w:eastAsia="ko-KR"/>
        </w:rPr>
      </w:pPr>
      <w:r>
        <w:rPr>
          <w:rFonts w:hint="eastAsia" w:ascii="Times New Roman" w:hAnsi="Times New Roman" w:eastAsia="宋体" w:cs="Times New Roman"/>
          <w:sz w:val="21"/>
          <w:szCs w:val="21"/>
          <w:lang w:val="en-US" w:eastAsia="zh-CN"/>
        </w:rPr>
        <w:t>When inter-band carrier aggregation within FR1 is configured, there are no scheduling restrictions on FR1 serving cell(s) configured in other bands than the bands in which PCell is configured.</w:t>
      </w:r>
    </w:p>
    <w:p w14:paraId="698AEBEA">
      <w:pPr>
        <w:numPr>
          <w:ilvl w:val="0"/>
          <w:numId w:val="1"/>
        </w:numPr>
        <w:spacing w:after="120"/>
        <w:ind w:left="60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highlight w:val="yellow"/>
          <w:lang w:val="en-US" w:eastAsia="zh-CN"/>
        </w:rPr>
        <w:t>FFS</w:t>
      </w:r>
      <w:r>
        <w:rPr>
          <w:rFonts w:hint="eastAsia" w:ascii="Times New Roman" w:hAnsi="Times New Roman" w:eastAsia="宋体" w:cs="Times New Roman"/>
          <w:sz w:val="21"/>
          <w:szCs w:val="21"/>
          <w:lang w:val="en-US" w:eastAsia="zh-CN"/>
        </w:rPr>
        <w:t xml:space="preserve"> for ATG Case#4 UE</w:t>
      </w:r>
    </w:p>
    <w:p w14:paraId="6A9D1D73">
      <w:pPr>
        <w:rPr>
          <w:b/>
          <w:sz w:val="21"/>
          <w:szCs w:val="21"/>
          <w:u w:val="single"/>
          <w:lang w:val="en-US" w:eastAsia="zh-CN"/>
        </w:rPr>
      </w:pPr>
    </w:p>
    <w:p w14:paraId="2961518E">
      <w:pPr>
        <w:rPr>
          <w:b/>
          <w:sz w:val="21"/>
          <w:szCs w:val="21"/>
          <w:u w:val="single"/>
          <w:lang w:val="en-US" w:eastAsia="zh-CN"/>
        </w:rPr>
      </w:pPr>
      <w:r>
        <w:rPr>
          <w:rFonts w:hint="eastAsia"/>
          <w:b/>
          <w:sz w:val="21"/>
          <w:szCs w:val="21"/>
          <w:u w:val="single"/>
          <w:lang w:val="en-US" w:eastAsia="zh-CN"/>
        </w:rPr>
        <w:t>Issue 1-4-8: Sharing factor between L1 measurement and RRM measurement</w:t>
      </w:r>
    </w:p>
    <w:p w14:paraId="01ECA3D3">
      <w:pPr>
        <w:snapToGrid w:val="0"/>
        <w:spacing w:after="120"/>
        <w:rPr>
          <w:b/>
          <w:bCs/>
          <w:sz w:val="21"/>
          <w:szCs w:val="22"/>
          <w:highlight w:val="green"/>
        </w:rPr>
      </w:pPr>
      <w:r>
        <w:rPr>
          <w:rFonts w:hint="eastAsia"/>
          <w:b/>
          <w:bCs/>
          <w:sz w:val="21"/>
          <w:szCs w:val="22"/>
          <w:highlight w:val="green"/>
        </w:rPr>
        <w:t>A</w:t>
      </w:r>
      <w:r>
        <w:rPr>
          <w:b/>
          <w:bCs/>
          <w:sz w:val="21"/>
          <w:szCs w:val="22"/>
          <w:highlight w:val="green"/>
        </w:rPr>
        <w:t xml:space="preserve">greement: </w:t>
      </w:r>
    </w:p>
    <w:p w14:paraId="0B4C78DE">
      <w:pPr>
        <w:snapToGrid w:val="0"/>
        <w:spacing w:after="120"/>
        <w:rPr>
          <w:sz w:val="21"/>
          <w:szCs w:val="22"/>
          <w:highlight w:val="none"/>
        </w:rPr>
      </w:pPr>
      <w:r>
        <w:rPr>
          <w:sz w:val="21"/>
          <w:szCs w:val="22"/>
          <w:highlight w:val="none"/>
        </w:rPr>
        <w:t xml:space="preserve">Agree on the </w:t>
      </w:r>
      <w:r>
        <w:rPr>
          <w:rFonts w:hint="eastAsia" w:eastAsia="宋体"/>
          <w:sz w:val="21"/>
          <w:szCs w:val="22"/>
          <w:highlight w:val="none"/>
          <w:lang w:val="en-US" w:eastAsia="zh-CN"/>
        </w:rPr>
        <w:t>following</w:t>
      </w:r>
      <w:r>
        <w:rPr>
          <w:sz w:val="21"/>
          <w:szCs w:val="22"/>
          <w:highlight w:val="none"/>
        </w:rPr>
        <w:t xml:space="preserve"> Proposal 1 for the intra-frequency measurement and L1-RSRP measurement, and apply the similar principle to other related requirements. </w:t>
      </w:r>
    </w:p>
    <w:p w14:paraId="34B0BDF1">
      <w:pPr>
        <w:numPr>
          <w:ilvl w:val="0"/>
          <w:numId w:val="1"/>
        </w:numPr>
        <w:snapToGrid w:val="0"/>
        <w:spacing w:after="120"/>
        <w:ind w:left="1020" w:leftChars="0"/>
        <w:rPr>
          <w:sz w:val="21"/>
          <w:szCs w:val="22"/>
        </w:rPr>
      </w:pPr>
      <w:r>
        <w:rPr>
          <w:sz w:val="21"/>
          <w:szCs w:val="22"/>
        </w:rPr>
        <w:t xml:space="preserve">Proposal 1: </w:t>
      </w:r>
    </w:p>
    <w:p w14:paraId="78F9C914">
      <w:pPr>
        <w:numPr>
          <w:ilvl w:val="1"/>
          <w:numId w:val="1"/>
        </w:numPr>
        <w:snapToGrid w:val="0"/>
        <w:spacing w:after="120"/>
        <w:ind w:left="1440"/>
        <w:rPr>
          <w:sz w:val="21"/>
          <w:szCs w:val="22"/>
        </w:rPr>
      </w:pPr>
      <w:r>
        <w:rPr>
          <w:sz w:val="21"/>
          <w:szCs w:val="22"/>
        </w:rPr>
        <w:t>The K</w:t>
      </w:r>
      <w:r>
        <w:rPr>
          <w:sz w:val="21"/>
          <w:szCs w:val="22"/>
          <w:vertAlign w:val="subscript"/>
        </w:rPr>
        <w:t>layer1_measurement</w:t>
      </w:r>
      <w:r>
        <w:rPr>
          <w:sz w:val="21"/>
          <w:szCs w:val="22"/>
        </w:rPr>
        <w:t xml:space="preserve"> and P</w:t>
      </w:r>
      <w:r>
        <w:rPr>
          <w:sz w:val="21"/>
          <w:szCs w:val="22"/>
          <w:vertAlign w:val="subscript"/>
        </w:rPr>
        <w:t>sharing factor</w:t>
      </w:r>
      <w:r>
        <w:rPr>
          <w:sz w:val="21"/>
          <w:szCs w:val="22"/>
        </w:rPr>
        <w:t xml:space="preserve"> in CA scenario should be updated as (NOTE: take the intra-frequency measurement and L1-RSRP measurement as an example):</w:t>
      </w:r>
    </w:p>
    <w:p w14:paraId="0DE5BF7B">
      <w:pPr>
        <w:snapToGrid w:val="0"/>
        <w:spacing w:after="120"/>
        <w:ind w:left="1500"/>
        <w:rPr>
          <w:sz w:val="21"/>
          <w:szCs w:val="22"/>
        </w:rPr>
      </w:pPr>
      <w:r>
        <w:rPr>
          <w:sz w:val="21"/>
          <w:szCs w:val="22"/>
        </w:rPr>
        <w:t>For UE with the antenna array,</w:t>
      </w:r>
    </w:p>
    <w:p w14:paraId="293D05FD">
      <w:pPr>
        <w:numPr>
          <w:ilvl w:val="2"/>
          <w:numId w:val="1"/>
        </w:numPr>
        <w:snapToGrid w:val="0"/>
        <w:spacing w:after="120"/>
        <w:ind w:left="1860"/>
        <w:rPr>
          <w:sz w:val="21"/>
          <w:szCs w:val="22"/>
        </w:rPr>
      </w:pPr>
      <w:r>
        <w:rPr>
          <w:sz w:val="21"/>
          <w:szCs w:val="22"/>
        </w:rPr>
        <w:t>K</w:t>
      </w:r>
      <w:r>
        <w:rPr>
          <w:sz w:val="21"/>
          <w:szCs w:val="22"/>
          <w:vertAlign w:val="subscript"/>
        </w:rPr>
        <w:t>layer1_measurement</w:t>
      </w:r>
      <w:r>
        <w:rPr>
          <w:sz w:val="21"/>
          <w:szCs w:val="22"/>
        </w:rPr>
        <w:t xml:space="preserve">=1, </w:t>
      </w:r>
    </w:p>
    <w:p w14:paraId="0DD91DCA">
      <w:pPr>
        <w:numPr>
          <w:ilvl w:val="3"/>
          <w:numId w:val="1"/>
        </w:numPr>
        <w:snapToGrid w:val="0"/>
        <w:spacing w:after="120"/>
        <w:ind w:left="2280"/>
        <w:rPr>
          <w:sz w:val="21"/>
          <w:szCs w:val="22"/>
        </w:rPr>
      </w:pPr>
      <w:r>
        <w:rPr>
          <w:sz w:val="21"/>
          <w:szCs w:val="22"/>
        </w:rPr>
        <w:t xml:space="preserve">if all of the reference signals configured for RLM, BFD, CBD or L1-RSRP for beam reporting outside measurement gap are not fully overlapped by intra-frequency SMTC occasions, or </w:t>
      </w:r>
    </w:p>
    <w:p w14:paraId="63744637">
      <w:pPr>
        <w:numPr>
          <w:ilvl w:val="3"/>
          <w:numId w:val="1"/>
        </w:numPr>
        <w:snapToGrid w:val="0"/>
        <w:spacing w:after="120"/>
        <w:ind w:left="2280"/>
        <w:rPr>
          <w:sz w:val="21"/>
          <w:szCs w:val="22"/>
        </w:rPr>
      </w:pPr>
      <w:r>
        <w:rPr>
          <w:sz w:val="21"/>
          <w:szCs w:val="22"/>
        </w:rPr>
        <w:t xml:space="preserve">if all of the reference signals configured for RLM, BFD, CBD or L1-RSRP for beam reporting outside measurement gap are not fully overlapped by intra-frequency SMTC occasions </w:t>
      </w:r>
      <w:r>
        <w:rPr>
          <w:color w:val="FF0000"/>
          <w:sz w:val="21"/>
          <w:szCs w:val="22"/>
        </w:rPr>
        <w:t>[</w:t>
      </w:r>
      <w:r>
        <w:rPr>
          <w:color w:val="FF0000"/>
          <w:sz w:val="21"/>
          <w:szCs w:val="22"/>
          <w:u w:val="single"/>
        </w:rPr>
        <w:t xml:space="preserve">configured] </w:t>
      </w:r>
      <w:r>
        <w:rPr>
          <w:sz w:val="21"/>
          <w:szCs w:val="22"/>
          <w:u w:val="single"/>
        </w:rPr>
        <w:t>by same serving cell when inter-band carrier aggregation within FR1 is configured [and UE doesn’t support capability of case 4]</w:t>
      </w:r>
      <w:r>
        <w:rPr>
          <w:sz w:val="21"/>
          <w:szCs w:val="22"/>
        </w:rPr>
        <w:t xml:space="preserve"> or</w:t>
      </w:r>
    </w:p>
    <w:p w14:paraId="5187FC8A">
      <w:pPr>
        <w:numPr>
          <w:ilvl w:val="3"/>
          <w:numId w:val="1"/>
        </w:numPr>
        <w:snapToGrid w:val="0"/>
        <w:spacing w:after="120"/>
        <w:ind w:left="2280"/>
        <w:rPr>
          <w:sz w:val="21"/>
          <w:szCs w:val="22"/>
        </w:rPr>
      </w:pPr>
      <w:r>
        <w:rPr>
          <w:sz w:val="21"/>
          <w:szCs w:val="22"/>
        </w:rPr>
        <w:t>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SSB-ToMeasure and SS-RSSI-Measurement are configured, where SSB symbols are indicated by the union set of SSB-ToMeasure from all the configured measurement objects on the same serving carrier which can be merged. and RSSI symbols are indicated by SS-RSSI-Measurement, or</w:t>
      </w:r>
    </w:p>
    <w:p w14:paraId="041499F9">
      <w:pPr>
        <w:numPr>
          <w:ilvl w:val="3"/>
          <w:numId w:val="1"/>
        </w:numPr>
        <w:snapToGrid w:val="0"/>
        <w:spacing w:after="120"/>
        <w:ind w:left="2280"/>
        <w:rPr>
          <w:sz w:val="21"/>
          <w:szCs w:val="22"/>
        </w:rPr>
      </w:pPr>
      <w:r>
        <w:rPr>
          <w:sz w:val="21"/>
          <w:szCs w:val="22"/>
        </w:rPr>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w:t>
      </w:r>
      <w:r>
        <w:rPr>
          <w:color w:val="FF0000"/>
          <w:sz w:val="21"/>
          <w:szCs w:val="22"/>
        </w:rPr>
        <w:t>[</w:t>
      </w:r>
      <w:r>
        <w:rPr>
          <w:color w:val="FF0000"/>
          <w:sz w:val="21"/>
          <w:szCs w:val="22"/>
          <w:u w:val="single"/>
        </w:rPr>
        <w:t xml:space="preserve">configured] </w:t>
      </w:r>
      <w:r>
        <w:rPr>
          <w:sz w:val="21"/>
          <w:szCs w:val="22"/>
          <w:u w:val="single"/>
        </w:rPr>
        <w:t>by same serving cell when inter-band carrier aggregation within FR1 is configured [and UE doesn’t support capability of case 4]</w:t>
      </w:r>
      <w:r>
        <w:rPr>
          <w:sz w:val="21"/>
          <w:szCs w:val="22"/>
        </w:rPr>
        <w:t>, given that SSB-ToMeasure and SS-RSSI-Measurement are configured, where SSB symbols are indicated by the union set of SSB-ToMeasure from all the configured measurement objects on the same serving carrier which can be merged. and RSSI symbols are indicated by SS-RSSI-Measurement;</w:t>
      </w:r>
    </w:p>
    <w:p w14:paraId="3B179394">
      <w:pPr>
        <w:numPr>
          <w:ilvl w:val="2"/>
          <w:numId w:val="1"/>
        </w:numPr>
        <w:snapToGrid w:val="0"/>
        <w:spacing w:after="120"/>
        <w:ind w:left="1860"/>
        <w:rPr>
          <w:sz w:val="21"/>
          <w:szCs w:val="22"/>
        </w:rPr>
      </w:pPr>
      <w:r>
        <w:rPr>
          <w:sz w:val="21"/>
          <w:szCs w:val="22"/>
        </w:rPr>
        <w:t>K</w:t>
      </w:r>
      <w:r>
        <w:rPr>
          <w:sz w:val="21"/>
          <w:szCs w:val="22"/>
          <w:vertAlign w:val="subscript"/>
        </w:rPr>
        <w:t>layer1_measurement</w:t>
      </w:r>
      <w:r>
        <w:rPr>
          <w:sz w:val="21"/>
          <w:szCs w:val="22"/>
        </w:rPr>
        <w:t>=1.5, otherwise.</w:t>
      </w:r>
    </w:p>
    <w:p w14:paraId="148DC30D">
      <w:pPr>
        <w:snapToGrid w:val="0"/>
        <w:spacing w:after="120"/>
        <w:rPr>
          <w:sz w:val="21"/>
          <w:szCs w:val="22"/>
        </w:rPr>
      </w:pPr>
    </w:p>
    <w:p w14:paraId="03EF9200">
      <w:pPr>
        <w:snapToGrid w:val="0"/>
        <w:spacing w:after="120"/>
        <w:ind w:left="1500"/>
        <w:rPr>
          <w:sz w:val="21"/>
          <w:szCs w:val="22"/>
        </w:rPr>
      </w:pPr>
      <w:r>
        <w:rPr>
          <w:sz w:val="21"/>
          <w:szCs w:val="22"/>
        </w:rPr>
        <w:t xml:space="preserve">For ATG UE with the antenna array, </w:t>
      </w:r>
    </w:p>
    <w:p w14:paraId="4D4A5511">
      <w:pPr>
        <w:numPr>
          <w:ilvl w:val="2"/>
          <w:numId w:val="1"/>
        </w:numPr>
        <w:snapToGrid w:val="0"/>
        <w:spacing w:after="120"/>
        <w:ind w:left="1860"/>
        <w:rPr>
          <w:sz w:val="21"/>
          <w:szCs w:val="22"/>
        </w:rPr>
      </w:pPr>
      <w:r>
        <w:rPr>
          <w:sz w:val="21"/>
          <w:szCs w:val="22"/>
        </w:rPr>
        <w:t>P value for SSB resource to be measured is defined as</w:t>
      </w:r>
    </w:p>
    <w:p w14:paraId="4DCAA87E">
      <w:pPr>
        <w:numPr>
          <w:ilvl w:val="3"/>
          <w:numId w:val="1"/>
        </w:numPr>
        <w:snapToGrid w:val="0"/>
        <w:spacing w:after="120"/>
        <w:ind w:left="2280"/>
        <w:rPr>
          <w:sz w:val="21"/>
          <w:szCs w:val="22"/>
        </w:rPr>
      </w:pPr>
      <w:r>
        <w:rPr>
          <w:sz w:val="21"/>
          <w:szCs w:val="22"/>
        </w:rPr>
        <w:t>N</w:t>
      </w:r>
      <w:r>
        <w:rPr>
          <w:sz w:val="21"/>
          <w:szCs w:val="22"/>
          <w:vertAlign w:val="subscript"/>
        </w:rPr>
        <w:t>total</w:t>
      </w:r>
      <w:r>
        <w:rPr>
          <w:sz w:val="21"/>
          <w:szCs w:val="22"/>
        </w:rPr>
        <w:t xml:space="preserve"> / N</w:t>
      </w:r>
      <w:r>
        <w:rPr>
          <w:sz w:val="21"/>
          <w:szCs w:val="22"/>
          <w:vertAlign w:val="subscript"/>
        </w:rPr>
        <w:t>available</w:t>
      </w:r>
      <w:r>
        <w:rPr>
          <w:sz w:val="21"/>
          <w:szCs w:val="22"/>
        </w:rPr>
        <w:t xml:space="preserve"> with N</w:t>
      </w:r>
      <w:r>
        <w:rPr>
          <w:sz w:val="21"/>
          <w:szCs w:val="22"/>
          <w:vertAlign w:val="subscript"/>
        </w:rPr>
        <w:t>available</w:t>
      </w:r>
      <w:r>
        <w:rPr>
          <w:sz w:val="21"/>
          <w:szCs w:val="22"/>
        </w:rPr>
        <w:t xml:space="preserve"> &gt; 0</w:t>
      </w:r>
    </w:p>
    <w:p w14:paraId="13501D08">
      <w:pPr>
        <w:numPr>
          <w:ilvl w:val="3"/>
          <w:numId w:val="1"/>
        </w:numPr>
        <w:snapToGrid w:val="0"/>
        <w:spacing w:after="120"/>
        <w:ind w:left="2280"/>
        <w:rPr>
          <w:sz w:val="21"/>
          <w:szCs w:val="22"/>
        </w:rPr>
      </w:pPr>
      <w:r>
        <w:rPr>
          <w:sz w:val="21"/>
          <w:szCs w:val="22"/>
        </w:rPr>
        <w:t>P</w:t>
      </w:r>
      <w:r>
        <w:rPr>
          <w:sz w:val="21"/>
          <w:szCs w:val="22"/>
          <w:vertAlign w:val="subscript"/>
        </w:rPr>
        <w:t>sharing factor</w:t>
      </w:r>
      <w:r>
        <w:rPr>
          <w:sz w:val="21"/>
          <w:szCs w:val="22"/>
        </w:rPr>
        <w:t xml:space="preserve"> * N</w:t>
      </w:r>
      <w:r>
        <w:rPr>
          <w:sz w:val="21"/>
          <w:szCs w:val="22"/>
          <w:vertAlign w:val="subscript"/>
        </w:rPr>
        <w:t>total</w:t>
      </w:r>
      <w:r>
        <w:rPr>
          <w:sz w:val="21"/>
          <w:szCs w:val="22"/>
        </w:rPr>
        <w:t xml:space="preserve"> / N</w:t>
      </w:r>
      <w:r>
        <w:rPr>
          <w:sz w:val="21"/>
          <w:szCs w:val="22"/>
          <w:vertAlign w:val="subscript"/>
        </w:rPr>
        <w:t>outside_MG</w:t>
      </w:r>
      <w:r>
        <w:rPr>
          <w:sz w:val="21"/>
          <w:szCs w:val="22"/>
        </w:rPr>
        <w:t xml:space="preserve"> with N</w:t>
      </w:r>
      <w:r>
        <w:rPr>
          <w:sz w:val="21"/>
          <w:szCs w:val="22"/>
          <w:vertAlign w:val="subscript"/>
        </w:rPr>
        <w:t>available</w:t>
      </w:r>
      <w:r>
        <w:rPr>
          <w:sz w:val="21"/>
          <w:szCs w:val="22"/>
        </w:rPr>
        <w:t xml:space="preserve"> = 0</w:t>
      </w:r>
    </w:p>
    <w:p w14:paraId="0985EF16">
      <w:pPr>
        <w:numPr>
          <w:ilvl w:val="3"/>
          <w:numId w:val="1"/>
        </w:numPr>
        <w:snapToGrid w:val="0"/>
        <w:spacing w:after="120"/>
        <w:ind w:left="2280"/>
        <w:rPr>
          <w:sz w:val="21"/>
          <w:szCs w:val="22"/>
        </w:rPr>
      </w:pPr>
      <w:r>
        <w:rPr>
          <w:sz w:val="21"/>
          <w:szCs w:val="22"/>
        </w:rPr>
        <w:t>For a window W of duration max(T</w:t>
      </w:r>
      <w:r>
        <w:rPr>
          <w:sz w:val="21"/>
          <w:szCs w:val="22"/>
          <w:vertAlign w:val="subscript"/>
        </w:rPr>
        <w:t xml:space="preserve">L1,  </w:t>
      </w:r>
      <w:r>
        <w:rPr>
          <w:sz w:val="21"/>
          <w:szCs w:val="22"/>
        </w:rPr>
        <w:t xml:space="preserve">MGRP_max), where MGRP_max is the maximum MGRP across all configured per-UE measurement gaps, and starting at the beginning of any SSB resource occasion: </w:t>
      </w:r>
    </w:p>
    <w:p w14:paraId="6777B980">
      <w:pPr>
        <w:numPr>
          <w:ilvl w:val="3"/>
          <w:numId w:val="1"/>
        </w:numPr>
        <w:snapToGrid w:val="0"/>
        <w:spacing w:after="120"/>
        <w:ind w:left="2280"/>
        <w:rPr>
          <w:sz w:val="21"/>
          <w:szCs w:val="22"/>
        </w:rPr>
      </w:pPr>
      <w:r>
        <w:rPr>
          <w:sz w:val="21"/>
          <w:szCs w:val="22"/>
        </w:rPr>
        <w:t>N</w:t>
      </w:r>
      <w:r>
        <w:rPr>
          <w:sz w:val="21"/>
          <w:szCs w:val="22"/>
          <w:vertAlign w:val="subscript"/>
        </w:rPr>
        <w:t>total</w:t>
      </w:r>
      <w:r>
        <w:rPr>
          <w:sz w:val="21"/>
          <w:szCs w:val="22"/>
        </w:rPr>
        <w:t xml:space="preserve"> is the total number of SSB resource occasions within the window W, including those overlapped with measurement gap occasions or SMTC occasions within the window W, and</w:t>
      </w:r>
    </w:p>
    <w:p w14:paraId="09ECAE1C">
      <w:pPr>
        <w:numPr>
          <w:ilvl w:val="3"/>
          <w:numId w:val="1"/>
        </w:numPr>
        <w:snapToGrid w:val="0"/>
        <w:spacing w:after="120"/>
        <w:ind w:left="2280"/>
        <w:rPr>
          <w:sz w:val="21"/>
          <w:szCs w:val="22"/>
        </w:rPr>
      </w:pPr>
      <w:r>
        <w:rPr>
          <w:sz w:val="21"/>
          <w:szCs w:val="22"/>
        </w:rPr>
        <w:t>N</w:t>
      </w:r>
      <w:r>
        <w:rPr>
          <w:sz w:val="21"/>
          <w:szCs w:val="22"/>
          <w:vertAlign w:val="subscript"/>
        </w:rPr>
        <w:t>outside_MG</w:t>
      </w:r>
      <w:r>
        <w:rPr>
          <w:sz w:val="21"/>
          <w:szCs w:val="22"/>
        </w:rPr>
        <w:t xml:space="preserve"> is the number of SSB resource occasions that are not overlapped with any measurement gap occasion within the window W</w:t>
      </w:r>
    </w:p>
    <w:p w14:paraId="07E00DA8">
      <w:pPr>
        <w:numPr>
          <w:ilvl w:val="3"/>
          <w:numId w:val="1"/>
        </w:numPr>
        <w:snapToGrid w:val="0"/>
        <w:spacing w:after="120"/>
        <w:ind w:left="2280"/>
        <w:rPr>
          <w:sz w:val="21"/>
          <w:szCs w:val="22"/>
          <w:u w:val="single"/>
        </w:rPr>
      </w:pPr>
      <w:r>
        <w:rPr>
          <w:sz w:val="21"/>
          <w:szCs w:val="22"/>
        </w:rPr>
        <w:t>N</w:t>
      </w:r>
      <w:r>
        <w:rPr>
          <w:sz w:val="21"/>
          <w:szCs w:val="22"/>
          <w:vertAlign w:val="subscript"/>
        </w:rPr>
        <w:t>available</w:t>
      </w:r>
      <w:r>
        <w:rPr>
          <w:sz w:val="21"/>
          <w:szCs w:val="22"/>
        </w:rPr>
        <w:t xml:space="preserve"> is the number of SSB resource occasions that are not overlapped with any measurement gap occasion nor any SMTC occasion within the window W, or not overlapped with any measurement gap occasion nor any SMTC occasion</w:t>
      </w:r>
      <w:r>
        <w:rPr>
          <w:sz w:val="21"/>
          <w:szCs w:val="22"/>
          <w:u w:val="single"/>
        </w:rPr>
        <w:t xml:space="preserve"> </w:t>
      </w:r>
      <w:r>
        <w:rPr>
          <w:color w:val="FF0000"/>
          <w:sz w:val="21"/>
          <w:szCs w:val="22"/>
        </w:rPr>
        <w:t>[</w:t>
      </w:r>
      <w:r>
        <w:rPr>
          <w:color w:val="FF0000"/>
          <w:sz w:val="21"/>
          <w:szCs w:val="22"/>
          <w:u w:val="single"/>
        </w:rPr>
        <w:t xml:space="preserve">configured] </w:t>
      </w:r>
      <w:r>
        <w:rPr>
          <w:sz w:val="21"/>
          <w:szCs w:val="22"/>
          <w:u w:val="single"/>
        </w:rPr>
        <w:t>by same serving cell within the window W when inter-band carrier aggregation within FR1 is configured [and UE doesn’t support capability of case 4].</w:t>
      </w:r>
    </w:p>
    <w:p w14:paraId="1E4E6A7F">
      <w:pPr>
        <w:numPr>
          <w:ilvl w:val="3"/>
          <w:numId w:val="1"/>
        </w:numPr>
        <w:snapToGrid w:val="0"/>
        <w:spacing w:after="120"/>
        <w:ind w:left="2280"/>
        <w:rPr>
          <w:sz w:val="21"/>
          <w:szCs w:val="22"/>
        </w:rPr>
      </w:pPr>
      <w:r>
        <w:rPr>
          <w:sz w:val="21"/>
          <w:szCs w:val="22"/>
        </w:rPr>
        <w:t>T</w:t>
      </w:r>
      <w:r>
        <w:rPr>
          <w:sz w:val="21"/>
          <w:szCs w:val="22"/>
          <w:vertAlign w:val="subscript"/>
        </w:rPr>
        <w:t xml:space="preserve">L1 </w:t>
      </w:r>
      <w:r>
        <w:rPr>
          <w:sz w:val="21"/>
          <w:szCs w:val="22"/>
        </w:rPr>
        <w:t>is periodicity of the target SSB</w:t>
      </w:r>
    </w:p>
    <w:p w14:paraId="79FAFF8E">
      <w:pPr>
        <w:numPr>
          <w:ilvl w:val="3"/>
          <w:numId w:val="1"/>
        </w:numPr>
        <w:snapToGrid w:val="0"/>
        <w:spacing w:after="120"/>
        <w:ind w:left="2280"/>
        <w:rPr>
          <w:sz w:val="21"/>
          <w:szCs w:val="22"/>
        </w:rPr>
      </w:pPr>
      <w:r>
        <w:rPr>
          <w:sz w:val="21"/>
          <w:szCs w:val="22"/>
        </w:rPr>
        <w:t>P</w:t>
      </w:r>
      <w:r>
        <w:rPr>
          <w:sz w:val="21"/>
          <w:szCs w:val="22"/>
          <w:vertAlign w:val="subscript"/>
        </w:rPr>
        <w:t xml:space="preserve">sharing factor </w:t>
      </w:r>
      <w:r>
        <w:rPr>
          <w:sz w:val="21"/>
          <w:szCs w:val="22"/>
        </w:rPr>
        <w:t>= 3.</w:t>
      </w:r>
    </w:p>
    <w:p w14:paraId="0DCD6DE7">
      <w:pPr>
        <w:rPr>
          <w:rFonts w:hint="eastAsia" w:eastAsia="等线"/>
          <w:sz w:val="21"/>
          <w:szCs w:val="21"/>
          <w:highlight w:val="yellow"/>
          <w:lang w:val="en-US" w:eastAsia="zh-CN"/>
        </w:rPr>
      </w:pPr>
    </w:p>
    <w:p w14:paraId="3B11AEC2">
      <w:pPr>
        <w:rPr>
          <w:rFonts w:hint="eastAsia" w:ascii="Times New Roman" w:hAnsi="Times New Roman" w:cs="Times New Roman"/>
          <w:b/>
          <w:color w:val="auto"/>
          <w:sz w:val="21"/>
          <w:szCs w:val="21"/>
          <w:u w:val="single"/>
          <w:lang w:val="en-US" w:eastAsia="zh-CN"/>
        </w:rPr>
      </w:pPr>
      <w:r>
        <w:rPr>
          <w:rFonts w:hint="eastAsia" w:ascii="Times New Roman" w:hAnsi="Times New Roman" w:cs="Times New Roman"/>
          <w:b/>
          <w:color w:val="auto"/>
          <w:sz w:val="21"/>
          <w:szCs w:val="21"/>
          <w:u w:val="single"/>
          <w:lang w:val="en-US" w:eastAsia="zh-CN"/>
        </w:rPr>
        <w:t>Issue 1-4-9: Measurement enhancement for ATG UE with antenna array</w:t>
      </w:r>
    </w:p>
    <w:p w14:paraId="0D59E27C">
      <w:pPr>
        <w:rPr>
          <w:rFonts w:hint="default" w:ascii="Times New Roman" w:hAnsi="Times New Roman" w:eastAsia="等线" w:cs="Times New Roman"/>
          <w:b/>
          <w:bCs/>
          <w:sz w:val="21"/>
          <w:szCs w:val="21"/>
          <w:highlight w:val="yellow"/>
          <w:lang w:val="en-US" w:eastAsia="zh-CN"/>
        </w:rPr>
      </w:pPr>
      <w:r>
        <w:rPr>
          <w:rFonts w:hint="eastAsia" w:ascii="Times New Roman" w:hAnsi="Times New Roman" w:eastAsia="等线" w:cs="Times New Roman"/>
          <w:b/>
          <w:bCs/>
          <w:sz w:val="21"/>
          <w:szCs w:val="21"/>
          <w:highlight w:val="yellow"/>
          <w:lang w:val="en-US" w:eastAsia="zh-CN"/>
        </w:rPr>
        <w:t>FFS</w:t>
      </w:r>
    </w:p>
    <w:p w14:paraId="25C2163D">
      <w:pPr>
        <w:numPr>
          <w:ilvl w:val="0"/>
          <w:numId w:val="1"/>
        </w:numPr>
        <w:spacing w:after="120"/>
        <w:ind w:left="60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 xml:space="preserve">Proposal 1: </w:t>
      </w:r>
    </w:p>
    <w:p w14:paraId="4009F86A">
      <w:pPr>
        <w:numPr>
          <w:ilvl w:val="1"/>
          <w:numId w:val="1"/>
        </w:numPr>
        <w:spacing w:after="120"/>
        <w:ind w:left="1020" w:leftChars="0"/>
        <w:rPr>
          <w:rFonts w:hint="default" w:ascii="Times New Roman" w:hAnsi="Times New Roman" w:eastAsia="宋体" w:cs="Times New Roman"/>
          <w:sz w:val="21"/>
          <w:szCs w:val="21"/>
          <w:lang w:val="en-US" w:eastAsia="ko-KR"/>
        </w:rPr>
      </w:pPr>
      <w:r>
        <w:rPr>
          <w:rFonts w:hint="eastAsia" w:ascii="Times New Roman" w:hAnsi="Times New Roman" w:eastAsia="宋体" w:cs="Times New Roman"/>
          <w:sz w:val="21"/>
          <w:szCs w:val="21"/>
          <w:lang w:val="en-US" w:eastAsia="zh-CN"/>
        </w:rPr>
        <w:t>If network identify neighbour cell measurement on SCC is not needed by deployment or the measurement report from PCell, then network can configure a signal which indicate UE only measure the SCell when performing the intra-frequency measurement. From requirement point of view, the beam sweeping factor N1 and antenna array specific L1/L3 sharing factor is not needed.</w:t>
      </w:r>
    </w:p>
    <w:p w14:paraId="74170378">
      <w:pPr>
        <w:numPr>
          <w:ilvl w:val="0"/>
          <w:numId w:val="1"/>
        </w:numPr>
        <w:spacing w:after="120"/>
        <w:ind w:left="600"/>
        <w:rPr>
          <w:rFonts w:hint="default" w:ascii="Times New Roman" w:hAnsi="Times New Roman" w:eastAsia="宋体" w:cs="Times New Roman"/>
          <w:sz w:val="21"/>
          <w:szCs w:val="21"/>
          <w:lang w:val="en-US" w:eastAsia="ko-KR"/>
        </w:rPr>
      </w:pPr>
      <w:r>
        <w:rPr>
          <w:rFonts w:hint="eastAsia" w:ascii="Times New Roman" w:hAnsi="Times New Roman" w:eastAsia="宋体" w:cs="Times New Roman"/>
          <w:sz w:val="21"/>
          <w:szCs w:val="21"/>
          <w:lang w:val="en-US" w:eastAsia="zh-CN"/>
        </w:rPr>
        <w:t>Proposal 2:</w:t>
      </w:r>
    </w:p>
    <w:p w14:paraId="3CE86113">
      <w:pPr>
        <w:numPr>
          <w:ilvl w:val="1"/>
          <w:numId w:val="1"/>
        </w:numPr>
        <w:spacing w:after="120"/>
        <w:ind w:left="1020" w:leftChars="0"/>
        <w:rPr>
          <w:rFonts w:hint="default" w:ascii="Times New Roman" w:hAnsi="Times New Roman" w:eastAsia="宋体" w:cs="Times New Roman"/>
          <w:sz w:val="21"/>
          <w:szCs w:val="21"/>
          <w:lang w:val="en-US" w:eastAsia="ko-KR"/>
        </w:rPr>
      </w:pPr>
      <w:r>
        <w:rPr>
          <w:rFonts w:hint="eastAsia" w:ascii="Times New Roman" w:hAnsi="Times New Roman" w:eastAsia="宋体" w:cs="Times New Roman"/>
          <w:sz w:val="21"/>
          <w:szCs w:val="21"/>
          <w:lang w:val="en-US" w:eastAsia="zh-CN"/>
        </w:rPr>
        <w:t xml:space="preserve">Define the corresponding enhanced requirements with some conditions, where the </w:t>
      </w:r>
      <w:r>
        <w:rPr>
          <w:rFonts w:hint="eastAsia" w:ascii="Times New Roman" w:hAnsi="Times New Roman" w:eastAsia="宋体" w:cs="Times New Roman"/>
          <w:sz w:val="21"/>
          <w:szCs w:val="21"/>
          <w:lang w:val="sv-SE" w:eastAsia="zh-CN"/>
        </w:rPr>
        <w:t>measurements of SCell addition and scheduling restrictions on neighbor cell measurements on candidate SCC can be omitted, and it depends on UE to apply these requirements.</w:t>
      </w:r>
    </w:p>
    <w:p w14:paraId="5217C540">
      <w:pPr>
        <w:rPr>
          <w:b/>
          <w:sz w:val="21"/>
          <w:szCs w:val="21"/>
          <w:u w:val="single"/>
          <w:lang w:eastAsia="zh-CN"/>
        </w:rPr>
      </w:pPr>
      <w:bookmarkStart w:id="0" w:name="_GoBack"/>
      <w:bookmarkEnd w:id="0"/>
    </w:p>
    <w:sectPr>
      <w:footnotePr>
        <w:numRestart w:val="eachSect"/>
      </w:footnotePr>
      <w:pgSz w:w="11907" w:h="16840"/>
      <w:pgMar w:top="720" w:right="720" w:bottom="720" w:left="720"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Vrinda">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auto"/>
    <w:pitch w:val="default"/>
    <w:sig w:usb0="E0002E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linkStyles/>
  <w:attachedTemplate r:id="rId1"/>
  <w:documentProtection w:enforcement="0"/>
  <w:defaultTabStop w:val="420"/>
  <w:drawingGridHorizontalSpacing w:val="10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3F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F2A"/>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5551"/>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3602"/>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63D7"/>
    <w:rsid w:val="009778E5"/>
    <w:rsid w:val="00977C6D"/>
    <w:rsid w:val="00980FCC"/>
    <w:rsid w:val="00982099"/>
    <w:rsid w:val="009830EE"/>
    <w:rsid w:val="0098326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5F04"/>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9F9"/>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CD8"/>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07583"/>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561"/>
    <w:rsid w:val="00D04A8A"/>
    <w:rsid w:val="00D053E2"/>
    <w:rsid w:val="00D057FE"/>
    <w:rsid w:val="00D05A4C"/>
    <w:rsid w:val="00D05D54"/>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250"/>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030B1B96"/>
    <w:rsid w:val="03BC4A9D"/>
    <w:rsid w:val="066478E0"/>
    <w:rsid w:val="08036534"/>
    <w:rsid w:val="09575F33"/>
    <w:rsid w:val="127C6D88"/>
    <w:rsid w:val="143E502C"/>
    <w:rsid w:val="16194085"/>
    <w:rsid w:val="18D42CAA"/>
    <w:rsid w:val="1CBB1BB0"/>
    <w:rsid w:val="1D777F86"/>
    <w:rsid w:val="1E452485"/>
    <w:rsid w:val="1F17751E"/>
    <w:rsid w:val="1F8E3470"/>
    <w:rsid w:val="21F046BC"/>
    <w:rsid w:val="25F93F73"/>
    <w:rsid w:val="262D4A31"/>
    <w:rsid w:val="2B09789B"/>
    <w:rsid w:val="2BC55573"/>
    <w:rsid w:val="2BD66B3D"/>
    <w:rsid w:val="2D715F5C"/>
    <w:rsid w:val="356362F6"/>
    <w:rsid w:val="363870C8"/>
    <w:rsid w:val="37160E14"/>
    <w:rsid w:val="37FA6736"/>
    <w:rsid w:val="39D671D7"/>
    <w:rsid w:val="3ECD11AB"/>
    <w:rsid w:val="41D67276"/>
    <w:rsid w:val="42A61C74"/>
    <w:rsid w:val="42E9170E"/>
    <w:rsid w:val="43BD7978"/>
    <w:rsid w:val="44345155"/>
    <w:rsid w:val="448E4BC9"/>
    <w:rsid w:val="448F6B3A"/>
    <w:rsid w:val="45227AF8"/>
    <w:rsid w:val="454D3C30"/>
    <w:rsid w:val="458D1B72"/>
    <w:rsid w:val="4789254C"/>
    <w:rsid w:val="4BE82A4F"/>
    <w:rsid w:val="4C6C4F33"/>
    <w:rsid w:val="4C8D6D3F"/>
    <w:rsid w:val="4CBA32E1"/>
    <w:rsid w:val="4F5E791D"/>
    <w:rsid w:val="4FBD263B"/>
    <w:rsid w:val="55E6360E"/>
    <w:rsid w:val="57D07432"/>
    <w:rsid w:val="5C2B7C22"/>
    <w:rsid w:val="5CB839E2"/>
    <w:rsid w:val="5E4A20CD"/>
    <w:rsid w:val="5EAD270C"/>
    <w:rsid w:val="609820D2"/>
    <w:rsid w:val="64230B55"/>
    <w:rsid w:val="64D608B5"/>
    <w:rsid w:val="660A444F"/>
    <w:rsid w:val="66BF6EA0"/>
    <w:rsid w:val="66E6541B"/>
    <w:rsid w:val="68024046"/>
    <w:rsid w:val="69AF145F"/>
    <w:rsid w:val="6AD273B5"/>
    <w:rsid w:val="72115020"/>
    <w:rsid w:val="72651D84"/>
    <w:rsid w:val="74853EE6"/>
    <w:rsid w:val="749C7F10"/>
    <w:rsid w:val="76AC4572"/>
    <w:rsid w:val="789A04F9"/>
    <w:rsid w:val="7AB226A3"/>
    <w:rsid w:val="7C3A7CDC"/>
    <w:rsid w:val="7D2334DD"/>
    <w:rsid w:val="7EEA3D76"/>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4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48"/>
    <w:qFormat/>
    <w:uiPriority w:val="0"/>
    <w:pPr>
      <w:pBdr>
        <w:top w:val="none" w:color="auto" w:sz="0" w:space="0"/>
      </w:pBdr>
      <w:spacing w:before="180"/>
      <w:outlineLvl w:val="1"/>
    </w:pPr>
    <w:rPr>
      <w:sz w:val="32"/>
    </w:rPr>
  </w:style>
  <w:style w:type="paragraph" w:styleId="4">
    <w:name w:val="heading 3"/>
    <w:basedOn w:val="3"/>
    <w:next w:val="1"/>
    <w:link w:val="49"/>
    <w:qFormat/>
    <w:uiPriority w:val="0"/>
    <w:pPr>
      <w:spacing w:before="120"/>
      <w:outlineLvl w:val="2"/>
    </w:pPr>
    <w:rPr>
      <w:sz w:val="28"/>
    </w:rPr>
  </w:style>
  <w:style w:type="paragraph" w:styleId="5">
    <w:name w:val="heading 4"/>
    <w:basedOn w:val="4"/>
    <w:next w:val="1"/>
    <w:link w:val="50"/>
    <w:qFormat/>
    <w:uiPriority w:val="0"/>
    <w:pPr>
      <w:ind w:left="1418" w:hanging="1418"/>
      <w:outlineLvl w:val="3"/>
    </w:pPr>
    <w:rPr>
      <w:sz w:val="24"/>
    </w:rPr>
  </w:style>
  <w:style w:type="paragraph" w:styleId="6">
    <w:name w:val="heading 5"/>
    <w:basedOn w:val="5"/>
    <w:next w:val="1"/>
    <w:link w:val="51"/>
    <w:qFormat/>
    <w:uiPriority w:val="0"/>
    <w:pPr>
      <w:ind w:left="1701" w:hanging="1701"/>
      <w:outlineLvl w:val="4"/>
    </w:pPr>
    <w:rPr>
      <w:sz w:val="22"/>
    </w:rPr>
  </w:style>
  <w:style w:type="paragraph" w:styleId="7">
    <w:name w:val="heading 6"/>
    <w:basedOn w:val="8"/>
    <w:next w:val="1"/>
    <w:link w:val="52"/>
    <w:qFormat/>
    <w:uiPriority w:val="0"/>
    <w:pPr>
      <w:outlineLvl w:val="5"/>
    </w:pPr>
  </w:style>
  <w:style w:type="paragraph" w:styleId="9">
    <w:name w:val="heading 7"/>
    <w:basedOn w:val="8"/>
    <w:next w:val="1"/>
    <w:link w:val="53"/>
    <w:qFormat/>
    <w:uiPriority w:val="0"/>
    <w:pPr>
      <w:outlineLvl w:val="6"/>
    </w:pPr>
  </w:style>
  <w:style w:type="paragraph" w:styleId="10">
    <w:name w:val="heading 8"/>
    <w:basedOn w:val="2"/>
    <w:next w:val="1"/>
    <w:link w:val="54"/>
    <w:qFormat/>
    <w:uiPriority w:val="0"/>
    <w:pPr>
      <w:ind w:left="0" w:firstLine="0"/>
      <w:outlineLvl w:val="7"/>
    </w:pPr>
  </w:style>
  <w:style w:type="paragraph" w:styleId="11">
    <w:name w:val="heading 9"/>
    <w:basedOn w:val="10"/>
    <w:next w:val="1"/>
    <w:link w:val="55"/>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caption"/>
    <w:basedOn w:val="1"/>
    <w:next w:val="1"/>
    <w:qFormat/>
    <w:uiPriority w:val="0"/>
    <w:pPr>
      <w:snapToGrid w:val="0"/>
      <w:spacing w:after="120"/>
      <w:jc w:val="center"/>
    </w:pPr>
    <w:rPr>
      <w:b/>
      <w:bCs/>
      <w:lang w:val="en-US"/>
    </w:rPr>
  </w:style>
  <w:style w:type="paragraph" w:styleId="29">
    <w:name w:val="Document Map"/>
    <w:basedOn w:val="1"/>
    <w:link w:val="59"/>
    <w:semiHidden/>
    <w:unhideWhenUsed/>
    <w:qFormat/>
    <w:uiPriority w:val="99"/>
    <w:rPr>
      <w:rFonts w:ascii="宋体"/>
      <w:sz w:val="18"/>
      <w:szCs w:val="18"/>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Date"/>
    <w:basedOn w:val="1"/>
    <w:next w:val="1"/>
    <w:link w:val="70"/>
    <w:semiHidden/>
    <w:unhideWhenUsed/>
    <w:qFormat/>
    <w:uiPriority w:val="99"/>
    <w:pPr>
      <w:ind w:left="100" w:leftChars="2500"/>
    </w:pPr>
  </w:style>
  <w:style w:type="paragraph" w:styleId="33">
    <w:name w:val="Balloon Text"/>
    <w:basedOn w:val="1"/>
    <w:link w:val="60"/>
    <w:semiHidden/>
    <w:unhideWhenUsed/>
    <w:qFormat/>
    <w:uiPriority w:val="99"/>
    <w:pPr>
      <w:spacing w:after="0"/>
    </w:pPr>
    <w:rPr>
      <w:sz w:val="18"/>
      <w:szCs w:val="18"/>
    </w:rPr>
  </w:style>
  <w:style w:type="paragraph" w:styleId="34">
    <w:name w:val="footer"/>
    <w:basedOn w:val="35"/>
    <w:link w:val="69"/>
    <w:qFormat/>
    <w:uiPriority w:val="0"/>
    <w:pPr>
      <w:jc w:val="center"/>
    </w:pPr>
    <w:rPr>
      <w:i/>
    </w:rPr>
  </w:style>
  <w:style w:type="paragraph" w:styleId="35">
    <w:name w:val="header"/>
    <w:basedOn w:val="1"/>
    <w:link w:val="68"/>
    <w:qFormat/>
    <w:uiPriority w:val="0"/>
    <w:pPr>
      <w:widowControl w:val="0"/>
    </w:pPr>
    <w:rPr>
      <w:rFonts w:ascii="Arial" w:hAnsi="Arial"/>
      <w:b/>
      <w:sz w:val="18"/>
    </w:rPr>
  </w:style>
  <w:style w:type="paragraph" w:styleId="36">
    <w:name w:val="footnote text"/>
    <w:basedOn w:val="1"/>
    <w:link w:val="76"/>
    <w:semiHidden/>
    <w:qFormat/>
    <w:uiPriority w:val="0"/>
    <w:pPr>
      <w:keepLines/>
      <w:spacing w:after="0"/>
      <w:ind w:left="454" w:hanging="454"/>
    </w:pPr>
    <w:rPr>
      <w:sz w:val="16"/>
    </w:rPr>
  </w:style>
  <w:style w:type="paragraph" w:styleId="37">
    <w:name w:val="List 5"/>
    <w:basedOn w:val="38"/>
    <w:semiHidden/>
    <w:qFormat/>
    <w:uiPriority w:val="0"/>
    <w:pPr>
      <w:ind w:left="1702"/>
    </w:pPr>
  </w:style>
  <w:style w:type="paragraph" w:styleId="38">
    <w:name w:val="List 4"/>
    <w:basedOn w:val="12"/>
    <w:semiHidden/>
    <w:qFormat/>
    <w:uiPriority w:val="0"/>
    <w:pPr>
      <w:ind w:left="1418"/>
    </w:pPr>
  </w:style>
  <w:style w:type="paragraph" w:styleId="39">
    <w:name w:val="toc 9"/>
    <w:basedOn w:val="31"/>
    <w:next w:val="1"/>
    <w:semiHidden/>
    <w:qFormat/>
    <w:uiPriority w:val="0"/>
    <w:pPr>
      <w:ind w:left="1418" w:hanging="1418"/>
    </w:pPr>
  </w:style>
  <w:style w:type="paragraph" w:styleId="40">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table" w:styleId="44">
    <w:name w:val="Table Grid"/>
    <w:basedOn w:val="4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otnote reference"/>
    <w:basedOn w:val="45"/>
    <w:semiHidden/>
    <w:qFormat/>
    <w:uiPriority w:val="0"/>
    <w:rPr>
      <w:b/>
      <w:position w:val="6"/>
      <w:sz w:val="16"/>
    </w:rPr>
  </w:style>
  <w:style w:type="character" w:customStyle="1" w:styleId="47">
    <w:name w:val="Heading 1 Char"/>
    <w:link w:val="2"/>
    <w:qFormat/>
    <w:uiPriority w:val="0"/>
    <w:rPr>
      <w:rFonts w:ascii="Arial" w:hAnsi="Arial" w:eastAsia="Times New Roman"/>
      <w:sz w:val="36"/>
    </w:rPr>
  </w:style>
  <w:style w:type="character" w:customStyle="1" w:styleId="48">
    <w:name w:val="Heading 2 Char"/>
    <w:link w:val="3"/>
    <w:qFormat/>
    <w:uiPriority w:val="0"/>
    <w:rPr>
      <w:rFonts w:ascii="Arial" w:hAnsi="Arial" w:eastAsia="Times New Roman"/>
      <w:sz w:val="32"/>
    </w:rPr>
  </w:style>
  <w:style w:type="character" w:customStyle="1" w:styleId="49">
    <w:name w:val="Heading 3 Char"/>
    <w:link w:val="4"/>
    <w:qFormat/>
    <w:uiPriority w:val="0"/>
    <w:rPr>
      <w:rFonts w:ascii="Arial" w:hAnsi="Arial" w:eastAsia="Times New Roman"/>
      <w:sz w:val="28"/>
    </w:rPr>
  </w:style>
  <w:style w:type="character" w:customStyle="1" w:styleId="50">
    <w:name w:val="Heading 4 Char"/>
    <w:link w:val="5"/>
    <w:qFormat/>
    <w:uiPriority w:val="0"/>
    <w:rPr>
      <w:rFonts w:ascii="Arial" w:hAnsi="Arial" w:eastAsia="Times New Roman"/>
      <w:sz w:val="24"/>
    </w:rPr>
  </w:style>
  <w:style w:type="character" w:customStyle="1" w:styleId="51">
    <w:name w:val="Heading 5 Char"/>
    <w:link w:val="6"/>
    <w:qFormat/>
    <w:uiPriority w:val="0"/>
    <w:rPr>
      <w:rFonts w:ascii="Arial" w:hAnsi="Arial" w:eastAsia="Times New Roman"/>
      <w:sz w:val="22"/>
    </w:rPr>
  </w:style>
  <w:style w:type="character" w:customStyle="1" w:styleId="52">
    <w:name w:val="Heading 6 Char"/>
    <w:link w:val="7"/>
    <w:qFormat/>
    <w:uiPriority w:val="0"/>
    <w:rPr>
      <w:rFonts w:ascii="Arial" w:hAnsi="Arial" w:eastAsia="Times New Roman"/>
    </w:rPr>
  </w:style>
  <w:style w:type="character" w:customStyle="1" w:styleId="53">
    <w:name w:val="Heading 7 Char"/>
    <w:link w:val="9"/>
    <w:qFormat/>
    <w:uiPriority w:val="0"/>
    <w:rPr>
      <w:rFonts w:ascii="Arial" w:hAnsi="Arial" w:eastAsia="Times New Roman"/>
    </w:rPr>
  </w:style>
  <w:style w:type="character" w:customStyle="1" w:styleId="54">
    <w:name w:val="Heading 8 Char"/>
    <w:link w:val="10"/>
    <w:qFormat/>
    <w:uiPriority w:val="0"/>
    <w:rPr>
      <w:rFonts w:ascii="Arial" w:hAnsi="Arial" w:eastAsia="Times New Roman"/>
      <w:sz w:val="36"/>
    </w:rPr>
  </w:style>
  <w:style w:type="character" w:customStyle="1" w:styleId="55">
    <w:name w:val="Heading 9 Char"/>
    <w:link w:val="11"/>
    <w:qFormat/>
    <w:uiPriority w:val="0"/>
    <w:rPr>
      <w:rFonts w:ascii="Arial" w:hAnsi="Arial" w:eastAsia="Times New Roman"/>
      <w:sz w:val="36"/>
    </w:rPr>
  </w:style>
  <w:style w:type="paragraph" w:customStyle="1" w:styleId="56">
    <w:name w:val="TAC"/>
    <w:basedOn w:val="57"/>
    <w:link w:val="58"/>
    <w:qFormat/>
    <w:uiPriority w:val="0"/>
    <w:pPr>
      <w:jc w:val="center"/>
    </w:pPr>
  </w:style>
  <w:style w:type="paragraph" w:customStyle="1" w:styleId="57">
    <w:name w:val="TAL"/>
    <w:basedOn w:val="1"/>
    <w:link w:val="61"/>
    <w:qFormat/>
    <w:uiPriority w:val="0"/>
    <w:pPr>
      <w:keepNext/>
      <w:keepLines/>
      <w:spacing w:after="0"/>
    </w:pPr>
    <w:rPr>
      <w:rFonts w:ascii="Arial" w:hAnsi="Arial"/>
      <w:sz w:val="18"/>
    </w:rPr>
  </w:style>
  <w:style w:type="character" w:customStyle="1" w:styleId="58">
    <w:name w:val="TAC Char"/>
    <w:link w:val="56"/>
    <w:qFormat/>
    <w:uiPriority w:val="0"/>
    <w:rPr>
      <w:rFonts w:ascii="Arial" w:hAnsi="Arial" w:eastAsia="Times New Roman"/>
      <w:sz w:val="18"/>
    </w:rPr>
  </w:style>
  <w:style w:type="character" w:customStyle="1" w:styleId="59">
    <w:name w:val="Document Map Char"/>
    <w:link w:val="29"/>
    <w:semiHidden/>
    <w:qFormat/>
    <w:uiPriority w:val="99"/>
    <w:rPr>
      <w:rFonts w:ascii="宋体" w:hAnsi="Times New Roman"/>
      <w:sz w:val="18"/>
      <w:szCs w:val="18"/>
      <w:lang w:val="en-GB" w:eastAsia="en-US"/>
    </w:rPr>
  </w:style>
  <w:style w:type="character" w:customStyle="1" w:styleId="60">
    <w:name w:val="Balloon Text Char"/>
    <w:link w:val="33"/>
    <w:semiHidden/>
    <w:qFormat/>
    <w:uiPriority w:val="99"/>
    <w:rPr>
      <w:rFonts w:ascii="Times New Roman" w:hAnsi="Times New Roman"/>
      <w:sz w:val="18"/>
      <w:szCs w:val="18"/>
      <w:lang w:val="en-GB" w:eastAsia="en-US"/>
    </w:rPr>
  </w:style>
  <w:style w:type="character" w:customStyle="1" w:styleId="61">
    <w:name w:val="TAL Car"/>
    <w:link w:val="57"/>
    <w:qFormat/>
    <w:locked/>
    <w:uiPriority w:val="0"/>
    <w:rPr>
      <w:rFonts w:ascii="Arial" w:hAnsi="Arial" w:eastAsia="Times New Roman"/>
      <w:sz w:val="18"/>
    </w:rPr>
  </w:style>
  <w:style w:type="paragraph" w:customStyle="1" w:styleId="62">
    <w:name w:val="TAH"/>
    <w:basedOn w:val="56"/>
    <w:link w:val="66"/>
    <w:qFormat/>
    <w:uiPriority w:val="0"/>
    <w:rPr>
      <w:b/>
    </w:rPr>
  </w:style>
  <w:style w:type="character" w:customStyle="1" w:styleId="63">
    <w:name w:val="TH Char"/>
    <w:link w:val="64"/>
    <w:qFormat/>
    <w:locked/>
    <w:uiPriority w:val="0"/>
    <w:rPr>
      <w:rFonts w:ascii="Arial" w:hAnsi="Arial" w:eastAsia="Times New Roman"/>
      <w:b/>
    </w:rPr>
  </w:style>
  <w:style w:type="paragraph" w:customStyle="1" w:styleId="64">
    <w:name w:val="TH"/>
    <w:basedOn w:val="1"/>
    <w:link w:val="63"/>
    <w:qFormat/>
    <w:uiPriority w:val="0"/>
    <w:pPr>
      <w:keepNext/>
      <w:keepLines/>
      <w:spacing w:before="60"/>
      <w:jc w:val="center"/>
    </w:pPr>
    <w:rPr>
      <w:rFonts w:ascii="Arial" w:hAnsi="Arial"/>
      <w:b/>
    </w:rPr>
  </w:style>
  <w:style w:type="paragraph" w:customStyle="1" w:styleId="65">
    <w:name w:val="TAN"/>
    <w:basedOn w:val="57"/>
    <w:link w:val="67"/>
    <w:qFormat/>
    <w:uiPriority w:val="0"/>
    <w:pPr>
      <w:ind w:left="851" w:hanging="851"/>
    </w:pPr>
  </w:style>
  <w:style w:type="character" w:customStyle="1" w:styleId="66">
    <w:name w:val="TAH Car"/>
    <w:link w:val="62"/>
    <w:qFormat/>
    <w:uiPriority w:val="0"/>
    <w:rPr>
      <w:rFonts w:ascii="Arial" w:hAnsi="Arial" w:eastAsia="Times New Roman"/>
      <w:b/>
      <w:sz w:val="18"/>
    </w:rPr>
  </w:style>
  <w:style w:type="character" w:customStyle="1" w:styleId="67">
    <w:name w:val="TAN Char"/>
    <w:link w:val="65"/>
    <w:qFormat/>
    <w:uiPriority w:val="0"/>
    <w:rPr>
      <w:rFonts w:ascii="Arial" w:hAnsi="Arial" w:eastAsia="Times New Roman"/>
      <w:sz w:val="18"/>
    </w:rPr>
  </w:style>
  <w:style w:type="character" w:customStyle="1" w:styleId="68">
    <w:name w:val="Header Char"/>
    <w:link w:val="35"/>
    <w:qFormat/>
    <w:uiPriority w:val="0"/>
    <w:rPr>
      <w:rFonts w:ascii="Arial" w:hAnsi="Arial" w:eastAsia="Times New Roman"/>
      <w:b/>
      <w:sz w:val="18"/>
    </w:rPr>
  </w:style>
  <w:style w:type="character" w:customStyle="1" w:styleId="69">
    <w:name w:val="Footer Char"/>
    <w:link w:val="34"/>
    <w:qFormat/>
    <w:uiPriority w:val="0"/>
    <w:rPr>
      <w:rFonts w:ascii="Arial" w:hAnsi="Arial" w:eastAsia="Times New Roman"/>
      <w:b/>
      <w:i/>
      <w:sz w:val="18"/>
    </w:rPr>
  </w:style>
  <w:style w:type="character" w:customStyle="1" w:styleId="70">
    <w:name w:val="Date Char"/>
    <w:link w:val="32"/>
    <w:semiHidden/>
    <w:qFormat/>
    <w:uiPriority w:val="99"/>
    <w:rPr>
      <w:rFonts w:ascii="Times New Roman" w:hAnsi="Times New Roman"/>
      <w:lang w:val="en-GB" w:eastAsia="en-US"/>
    </w:rPr>
  </w:style>
  <w:style w:type="paragraph" w:styleId="71">
    <w:name w:val="List Paragraph"/>
    <w:basedOn w:val="1"/>
    <w:link w:val="102"/>
    <w:qFormat/>
    <w:uiPriority w:val="34"/>
    <w:pPr>
      <w:ind w:firstLine="420" w:firstLineChars="200"/>
    </w:pPr>
  </w:style>
  <w:style w:type="character" w:customStyle="1" w:styleId="72">
    <w:name w:val="texhtml"/>
    <w:basedOn w:val="45"/>
    <w:qFormat/>
    <w:uiPriority w:val="0"/>
  </w:style>
  <w:style w:type="paragraph" w:customStyle="1" w:styleId="7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5">
    <w:name w:val="TT"/>
    <w:basedOn w:val="2"/>
    <w:next w:val="1"/>
    <w:qFormat/>
    <w:uiPriority w:val="0"/>
    <w:pPr>
      <w:outlineLvl w:val="9"/>
    </w:pPr>
  </w:style>
  <w:style w:type="character" w:customStyle="1" w:styleId="76">
    <w:name w:val="Footnote Text Char"/>
    <w:basedOn w:val="45"/>
    <w:link w:val="36"/>
    <w:semiHidden/>
    <w:qFormat/>
    <w:uiPriority w:val="0"/>
    <w:rPr>
      <w:rFonts w:ascii="Times New Roman" w:hAnsi="Times New Roman" w:eastAsia="Times New Roman"/>
      <w:sz w:val="16"/>
    </w:rPr>
  </w:style>
  <w:style w:type="paragraph" w:customStyle="1" w:styleId="77">
    <w:name w:val="TF"/>
    <w:basedOn w:val="64"/>
    <w:qFormat/>
    <w:uiPriority w:val="0"/>
    <w:pPr>
      <w:keepNext w:val="0"/>
      <w:spacing w:before="0" w:after="240"/>
    </w:pPr>
  </w:style>
  <w:style w:type="paragraph" w:customStyle="1" w:styleId="78">
    <w:name w:val="NO"/>
    <w:basedOn w:val="1"/>
    <w:qFormat/>
    <w:uiPriority w:val="0"/>
    <w:pPr>
      <w:keepLines/>
      <w:ind w:left="1135" w:hanging="851"/>
    </w:pPr>
  </w:style>
  <w:style w:type="paragraph" w:customStyle="1" w:styleId="79">
    <w:name w:val="EX"/>
    <w:basedOn w:val="1"/>
    <w:qFormat/>
    <w:uiPriority w:val="0"/>
    <w:pPr>
      <w:keepLines/>
      <w:ind w:left="1702" w:hanging="1418"/>
    </w:pPr>
  </w:style>
  <w:style w:type="paragraph" w:customStyle="1" w:styleId="80">
    <w:name w:val="FP"/>
    <w:basedOn w:val="1"/>
    <w:qFormat/>
    <w:uiPriority w:val="0"/>
    <w:pPr>
      <w:spacing w:after="0"/>
    </w:pPr>
  </w:style>
  <w:style w:type="paragraph" w:customStyle="1" w:styleId="8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2">
    <w:name w:val="NW"/>
    <w:basedOn w:val="78"/>
    <w:qFormat/>
    <w:uiPriority w:val="0"/>
    <w:pPr>
      <w:spacing w:after="0"/>
    </w:pPr>
  </w:style>
  <w:style w:type="paragraph" w:customStyle="1" w:styleId="83">
    <w:name w:val="EW"/>
    <w:basedOn w:val="79"/>
    <w:qFormat/>
    <w:uiPriority w:val="0"/>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0"/>
    <w:pPr>
      <w:keepNext/>
      <w:spacing w:after="0"/>
    </w:pPr>
    <w:rPr>
      <w:rFonts w:ascii="Arial" w:hAnsi="Arial"/>
      <w:sz w:val="18"/>
    </w:rPr>
  </w:style>
  <w:style w:type="paragraph" w:customStyle="1" w:styleId="8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7">
    <w:name w:val="TAR"/>
    <w:basedOn w:val="57"/>
    <w:qFormat/>
    <w:uiPriority w:val="0"/>
    <w:pPr>
      <w:jc w:val="right"/>
    </w:pPr>
  </w:style>
  <w:style w:type="paragraph" w:customStyle="1" w:styleId="8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9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2">
    <w:name w:val="ZV"/>
    <w:basedOn w:val="91"/>
    <w:qFormat/>
    <w:uiPriority w:val="0"/>
    <w:pPr>
      <w:framePr w:y="16161"/>
    </w:pPr>
  </w:style>
  <w:style w:type="character" w:customStyle="1" w:styleId="93">
    <w:name w:val="ZGSM"/>
    <w:qFormat/>
    <w:uiPriority w:val="0"/>
  </w:style>
  <w:style w:type="paragraph" w:customStyle="1" w:styleId="9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5">
    <w:name w:val="Editor's Note"/>
    <w:basedOn w:val="78"/>
    <w:qFormat/>
    <w:uiPriority w:val="0"/>
    <w:rPr>
      <w:color w:val="FF0000"/>
    </w:rPr>
  </w:style>
  <w:style w:type="paragraph" w:customStyle="1" w:styleId="96">
    <w:name w:val="B1"/>
    <w:basedOn w:val="14"/>
    <w:qFormat/>
    <w:uiPriority w:val="0"/>
  </w:style>
  <w:style w:type="paragraph" w:customStyle="1" w:styleId="97">
    <w:name w:val="B2"/>
    <w:basedOn w:val="13"/>
    <w:qFormat/>
    <w:uiPriority w:val="0"/>
  </w:style>
  <w:style w:type="paragraph" w:customStyle="1" w:styleId="98">
    <w:name w:val="B3"/>
    <w:basedOn w:val="12"/>
    <w:qFormat/>
    <w:uiPriority w:val="0"/>
  </w:style>
  <w:style w:type="paragraph" w:customStyle="1" w:styleId="99">
    <w:name w:val="B4"/>
    <w:basedOn w:val="38"/>
    <w:qFormat/>
    <w:uiPriority w:val="0"/>
  </w:style>
  <w:style w:type="paragraph" w:customStyle="1" w:styleId="100">
    <w:name w:val="B5"/>
    <w:basedOn w:val="37"/>
    <w:qFormat/>
    <w:uiPriority w:val="0"/>
  </w:style>
  <w:style w:type="paragraph" w:customStyle="1" w:styleId="101">
    <w:name w:val="ZTD"/>
    <w:basedOn w:val="89"/>
    <w:qFormat/>
    <w:uiPriority w:val="0"/>
    <w:pPr>
      <w:framePr w:hRule="auto" w:y="852"/>
    </w:pPr>
    <w:rPr>
      <w:i w:val="0"/>
      <w:sz w:val="40"/>
    </w:rPr>
  </w:style>
  <w:style w:type="character" w:customStyle="1" w:styleId="102">
    <w:name w:val="List Paragraph Char"/>
    <w:link w:val="71"/>
    <w:qFormat/>
    <w:locked/>
    <w:uiPriority w:val="34"/>
    <w:rPr>
      <w:rFonts w:ascii="Times New Roman" w:hAnsi="Times New Roman" w:eastAsia="Times New Roman"/>
      <w:lang w:val="en-GB" w:eastAsia="en-GB" w:bidi="ar-SA"/>
    </w:rPr>
  </w:style>
  <w:style w:type="paragraph" w:customStyle="1" w:styleId="103">
    <w:name w:val="Revision"/>
    <w:hidden/>
    <w:unhideWhenUsed/>
    <w:qFormat/>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Huawei Technologies Co.,Ltd.</Company>
  <Pages>5</Pages>
  <Words>925</Words>
  <Characters>5654</Characters>
  <Lines>141</Lines>
  <Paragraphs>111</Paragraphs>
  <TotalTime>0</TotalTime>
  <ScaleCrop>false</ScaleCrop>
  <LinksUpToDate>false</LinksUpToDate>
  <CharactersWithSpaces>6468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2024-11-22T00:19:00Z</dcterms:created>
  <dc:creator>Dai Xizeng</dc:creator>
  <cp:lastModifiedBy>CMCC-shiyuan-v2</cp:lastModifiedBy>
  <dcterms:modified xsi:type="dcterms:W3CDTF">2025-02-20T14:28:06Z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KSOProductBuildVer">
    <vt:lpwstr>2052-12.8.2.18205</vt:lpwstr>
  </property>
  <property fmtid="{D5CDD505-2E9C-101B-9397-08002B2CF9AE}" pid="15" name="ICV">
    <vt:lpwstr>633DFDB7C5CE4ABEA70C69A11FBF1825</vt:lpwstr>
  </property>
</Properties>
</file>